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C3" w:rsidRDefault="000034C3" w:rsidP="000034C3">
      <w:pPr>
        <w:pStyle w:val="Body1"/>
        <w:suppressAutoHyphens/>
        <w:spacing w:line="270" w:lineRule="exact"/>
        <w:rPr>
          <w:rFonts w:ascii="Arial" w:hAnsi="Arial" w:cs="Arial"/>
          <w:sz w:val="20"/>
          <w:lang w:val="es-MX"/>
        </w:rPr>
      </w:pPr>
      <w:r>
        <w:rPr>
          <w:rFonts w:ascii="Arial" w:hAnsi="Arial" w:cs="Arial"/>
          <w:sz w:val="20"/>
          <w:lang w:val="es-MX"/>
        </w:rPr>
        <w:t>Buenos Aires</w:t>
      </w:r>
      <w:r w:rsidRPr="008B6549">
        <w:rPr>
          <w:rFonts w:ascii="Arial" w:hAnsi="Arial" w:cs="Arial"/>
          <w:sz w:val="20"/>
          <w:lang w:val="es-MX"/>
        </w:rPr>
        <w:t xml:space="preserve">, </w:t>
      </w:r>
      <w:r w:rsidR="00D0403E">
        <w:rPr>
          <w:rFonts w:ascii="Arial" w:hAnsi="Arial" w:cs="Arial"/>
          <w:sz w:val="20"/>
          <w:lang w:val="es-MX"/>
        </w:rPr>
        <w:t>2</w:t>
      </w:r>
      <w:r w:rsidR="00095FA3">
        <w:rPr>
          <w:rFonts w:ascii="Arial" w:hAnsi="Arial" w:cs="Arial"/>
          <w:sz w:val="20"/>
          <w:lang w:val="es-MX"/>
        </w:rPr>
        <w:t>7</w:t>
      </w:r>
      <w:r>
        <w:rPr>
          <w:rFonts w:ascii="Arial" w:hAnsi="Arial" w:cs="Arial"/>
          <w:sz w:val="20"/>
          <w:lang w:val="es-MX"/>
        </w:rPr>
        <w:t xml:space="preserve"> de Septiembre</w:t>
      </w:r>
      <w:r w:rsidRPr="008B6549">
        <w:rPr>
          <w:rFonts w:ascii="Arial" w:hAnsi="Arial" w:cs="Arial"/>
          <w:sz w:val="20"/>
          <w:lang w:val="es-MX"/>
        </w:rPr>
        <w:t xml:space="preserve"> de 2016</w:t>
      </w:r>
    </w:p>
    <w:p w:rsidR="00EF0008" w:rsidRPr="000034C3" w:rsidRDefault="00EF0008" w:rsidP="00EF0008">
      <w:pPr>
        <w:pStyle w:val="Body1"/>
        <w:suppressAutoHyphens/>
        <w:spacing w:line="270" w:lineRule="exact"/>
        <w:rPr>
          <w:rFonts w:ascii="Arial" w:hAnsi="Arial" w:cs="Arial"/>
          <w:sz w:val="20"/>
          <w:lang w:val="es-MX"/>
        </w:rPr>
      </w:pPr>
    </w:p>
    <w:p w:rsidR="0074515A" w:rsidRPr="00E7428B" w:rsidRDefault="00095FA3" w:rsidP="00095FA3">
      <w:pPr>
        <w:suppressAutoHyphens/>
        <w:spacing w:line="270" w:lineRule="exact"/>
        <w:rPr>
          <w:rFonts w:ascii="Arial" w:hAnsi="Arial"/>
          <w:b/>
          <w:lang w:val="es-MX"/>
        </w:rPr>
      </w:pPr>
      <w:r w:rsidRPr="00095FA3">
        <w:rPr>
          <w:rFonts w:ascii="Arial" w:hAnsi="Arial"/>
          <w:b/>
          <w:lang w:val="es-MX"/>
        </w:rPr>
        <w:t>Las insolvencias empresariales en Polonia se reducen en un</w:t>
      </w:r>
      <w:r>
        <w:rPr>
          <w:rFonts w:ascii="Arial" w:hAnsi="Arial"/>
          <w:b/>
          <w:lang w:val="es-MX"/>
        </w:rPr>
        <w:t xml:space="preserve"> </w:t>
      </w:r>
      <w:r w:rsidRPr="00095FA3">
        <w:rPr>
          <w:rFonts w:ascii="Arial" w:hAnsi="Arial"/>
          <w:b/>
          <w:lang w:val="es-MX"/>
        </w:rPr>
        <w:t>contexto de crecimiento económico moderado</w:t>
      </w:r>
    </w:p>
    <w:p w:rsidR="00741AF3" w:rsidRPr="00605FB5" w:rsidRDefault="00741AF3" w:rsidP="0074515A">
      <w:pPr>
        <w:suppressAutoHyphens/>
        <w:spacing w:line="270" w:lineRule="exact"/>
        <w:jc w:val="both"/>
        <w:rPr>
          <w:rFonts w:ascii="Arial" w:hAnsi="Arial" w:cs="Arial"/>
          <w:b/>
          <w:bCs/>
          <w:sz w:val="20"/>
          <w:szCs w:val="20"/>
          <w:lang w:val="es-MX"/>
        </w:rPr>
      </w:pPr>
    </w:p>
    <w:p w:rsidR="00095FA3" w:rsidRPr="00095FA3" w:rsidRDefault="00095FA3" w:rsidP="00095FA3">
      <w:pPr>
        <w:pStyle w:val="Prrafodelista"/>
        <w:numPr>
          <w:ilvl w:val="0"/>
          <w:numId w:val="23"/>
        </w:numPr>
        <w:suppressAutoHyphens/>
        <w:spacing w:line="270" w:lineRule="exact"/>
        <w:jc w:val="both"/>
        <w:rPr>
          <w:rFonts w:ascii="Arial" w:hAnsi="Arial" w:cs="Arial"/>
          <w:b/>
          <w:sz w:val="22"/>
          <w:szCs w:val="22"/>
          <w:lang w:val="es-MX"/>
        </w:rPr>
      </w:pPr>
      <w:r w:rsidRPr="00095FA3">
        <w:rPr>
          <w:rFonts w:ascii="Arial" w:hAnsi="Arial"/>
          <w:b/>
          <w:sz w:val="22"/>
          <w:lang w:val="es-MX"/>
        </w:rPr>
        <w:t>La economía de Polonia muestra signos de desaceleración este año,</w:t>
      </w:r>
      <w:r w:rsidRPr="00095FA3">
        <w:rPr>
          <w:rFonts w:ascii="Arial" w:hAnsi="Arial"/>
          <w:b/>
          <w:sz w:val="22"/>
          <w:lang w:val="es-MX"/>
        </w:rPr>
        <w:t xml:space="preserve"> </w:t>
      </w:r>
      <w:r w:rsidRPr="00095FA3">
        <w:rPr>
          <w:rFonts w:ascii="Arial" w:hAnsi="Arial"/>
          <w:b/>
          <w:sz w:val="22"/>
          <w:lang w:val="es-MX"/>
        </w:rPr>
        <w:t>aunque la tasa de crecimiento se mantendrá en un nivel razonable del</w:t>
      </w:r>
      <w:r>
        <w:rPr>
          <w:rFonts w:ascii="Arial" w:hAnsi="Arial"/>
          <w:b/>
          <w:sz w:val="22"/>
          <w:lang w:val="es-MX"/>
        </w:rPr>
        <w:t xml:space="preserve"> </w:t>
      </w:r>
      <w:r w:rsidRPr="00095FA3">
        <w:rPr>
          <w:rFonts w:ascii="Arial" w:hAnsi="Arial"/>
          <w:b/>
          <w:sz w:val="22"/>
          <w:lang w:val="es-MX"/>
        </w:rPr>
        <w:t>3,2% en 2016, tras un crecimiento del 3,6% en 2015.</w:t>
      </w:r>
    </w:p>
    <w:p w:rsidR="00095FA3" w:rsidRPr="00095FA3" w:rsidRDefault="00095FA3" w:rsidP="00095FA3">
      <w:pPr>
        <w:pStyle w:val="Prrafodelista"/>
        <w:numPr>
          <w:ilvl w:val="0"/>
          <w:numId w:val="23"/>
        </w:numPr>
        <w:suppressAutoHyphens/>
        <w:spacing w:line="270" w:lineRule="exact"/>
        <w:jc w:val="both"/>
        <w:rPr>
          <w:rFonts w:ascii="Arial" w:hAnsi="Arial" w:cs="Arial"/>
          <w:b/>
          <w:sz w:val="22"/>
          <w:szCs w:val="22"/>
          <w:lang w:val="es-MX"/>
        </w:rPr>
      </w:pPr>
      <w:r w:rsidRPr="00095FA3">
        <w:rPr>
          <w:rFonts w:ascii="Arial" w:hAnsi="Arial"/>
          <w:b/>
          <w:sz w:val="22"/>
          <w:lang w:val="es-MX"/>
        </w:rPr>
        <w:t>Las empresas se benefician de condiciones macroeconómicas</w:t>
      </w:r>
      <w:r>
        <w:rPr>
          <w:rFonts w:ascii="Arial" w:hAnsi="Arial"/>
          <w:b/>
          <w:sz w:val="22"/>
          <w:lang w:val="es-MX"/>
        </w:rPr>
        <w:t xml:space="preserve"> </w:t>
      </w:r>
      <w:r w:rsidRPr="00095FA3">
        <w:rPr>
          <w:rFonts w:ascii="Arial" w:hAnsi="Arial"/>
          <w:b/>
          <w:sz w:val="22"/>
          <w:lang w:val="es-MX"/>
        </w:rPr>
        <w:t>favorables.</w:t>
      </w:r>
    </w:p>
    <w:p w:rsidR="00095FA3" w:rsidRPr="00095FA3" w:rsidRDefault="00095FA3" w:rsidP="00095FA3">
      <w:pPr>
        <w:pStyle w:val="Prrafodelista"/>
        <w:numPr>
          <w:ilvl w:val="0"/>
          <w:numId w:val="23"/>
        </w:numPr>
        <w:suppressAutoHyphens/>
        <w:spacing w:line="270" w:lineRule="exact"/>
        <w:jc w:val="both"/>
        <w:rPr>
          <w:rFonts w:ascii="Arial" w:hAnsi="Arial" w:cs="Arial"/>
          <w:b/>
          <w:sz w:val="22"/>
          <w:szCs w:val="22"/>
          <w:lang w:val="es-MX"/>
        </w:rPr>
      </w:pPr>
      <w:r w:rsidRPr="00095FA3">
        <w:rPr>
          <w:rFonts w:ascii="Arial" w:hAnsi="Arial"/>
          <w:b/>
          <w:sz w:val="22"/>
          <w:lang w:val="es-MX"/>
        </w:rPr>
        <w:t>Las insolvencias y los procesos de restructuración disminuyeron más del</w:t>
      </w:r>
      <w:r w:rsidRPr="00095FA3">
        <w:rPr>
          <w:rFonts w:ascii="Arial" w:hAnsi="Arial"/>
          <w:b/>
          <w:sz w:val="22"/>
          <w:lang w:val="es-MX"/>
        </w:rPr>
        <w:t xml:space="preserve"> </w:t>
      </w:r>
      <w:r w:rsidRPr="00095FA3">
        <w:rPr>
          <w:rFonts w:ascii="Arial" w:hAnsi="Arial"/>
          <w:b/>
          <w:sz w:val="22"/>
          <w:lang w:val="es-MX"/>
        </w:rPr>
        <w:t>14%. Coface prevé una continua mejora, con una disminución en el</w:t>
      </w:r>
      <w:r>
        <w:rPr>
          <w:rFonts w:ascii="Arial" w:hAnsi="Arial"/>
          <w:b/>
          <w:sz w:val="22"/>
          <w:lang w:val="es-MX"/>
        </w:rPr>
        <w:t xml:space="preserve"> </w:t>
      </w:r>
      <w:r w:rsidRPr="00095FA3">
        <w:rPr>
          <w:rFonts w:ascii="Arial" w:hAnsi="Arial"/>
          <w:b/>
          <w:sz w:val="22"/>
          <w:lang w:val="es-MX"/>
        </w:rPr>
        <w:t>número de procedimientos en 2016 y 2017.</w:t>
      </w:r>
    </w:p>
    <w:p w:rsidR="00741AF3" w:rsidRPr="00822B61" w:rsidRDefault="00741AF3" w:rsidP="00741AF3">
      <w:pPr>
        <w:suppressAutoHyphens/>
        <w:spacing w:line="270" w:lineRule="exact"/>
        <w:jc w:val="both"/>
        <w:rPr>
          <w:rFonts w:ascii="Arial" w:hAnsi="Arial" w:cs="Arial"/>
          <w:bCs/>
          <w:sz w:val="20"/>
          <w:szCs w:val="20"/>
          <w:lang w:val="es-MX"/>
        </w:rPr>
      </w:pPr>
    </w:p>
    <w:p w:rsidR="00095FA3" w:rsidRDefault="00095FA3" w:rsidP="00095FA3">
      <w:pPr>
        <w:suppressAutoHyphens/>
        <w:spacing w:line="270" w:lineRule="exact"/>
        <w:jc w:val="both"/>
        <w:rPr>
          <w:rFonts w:ascii="Arial" w:hAnsi="Arial"/>
          <w:sz w:val="20"/>
          <w:lang w:val="es-MX"/>
        </w:rPr>
      </w:pPr>
      <w:r w:rsidRPr="00095FA3">
        <w:rPr>
          <w:rFonts w:ascii="Arial" w:hAnsi="Arial"/>
          <w:sz w:val="20"/>
          <w:lang w:val="es-MX"/>
        </w:rPr>
        <w:t>Las empresas en Polonia continúan beneficiándose de un contexto económico favorable, con</w:t>
      </w:r>
      <w:r>
        <w:rPr>
          <w:rFonts w:ascii="Arial" w:hAnsi="Arial"/>
          <w:sz w:val="20"/>
          <w:lang w:val="es-MX"/>
        </w:rPr>
        <w:t xml:space="preserve"> </w:t>
      </w:r>
      <w:r w:rsidRPr="00095FA3">
        <w:rPr>
          <w:rFonts w:ascii="Arial" w:hAnsi="Arial"/>
          <w:sz w:val="20"/>
          <w:lang w:val="es-MX"/>
        </w:rPr>
        <w:t>una fuerte demanda interna y externa. La desaceleración en el crecimiento que se está</w:t>
      </w:r>
      <w:r>
        <w:rPr>
          <w:rFonts w:ascii="Arial" w:hAnsi="Arial"/>
          <w:sz w:val="20"/>
          <w:lang w:val="es-MX"/>
        </w:rPr>
        <w:t xml:space="preserve"> </w:t>
      </w:r>
      <w:r w:rsidRPr="00095FA3">
        <w:rPr>
          <w:rFonts w:ascii="Arial" w:hAnsi="Arial"/>
          <w:sz w:val="20"/>
          <w:lang w:val="es-MX"/>
        </w:rPr>
        <w:t>experimentando este año se debe a un debilitamiento de las inversiones (que disminuyeron un</w:t>
      </w:r>
      <w:r>
        <w:rPr>
          <w:rFonts w:ascii="Arial" w:hAnsi="Arial"/>
          <w:sz w:val="20"/>
          <w:lang w:val="es-MX"/>
        </w:rPr>
        <w:t xml:space="preserve"> </w:t>
      </w:r>
      <w:r w:rsidRPr="00095FA3">
        <w:rPr>
          <w:rFonts w:ascii="Arial" w:hAnsi="Arial"/>
          <w:sz w:val="20"/>
          <w:lang w:val="es-MX"/>
        </w:rPr>
        <w:t>3,6% interanualmente en el primer semestre de 2016). Esta disminución se debe en parte al</w:t>
      </w:r>
      <w:r>
        <w:rPr>
          <w:rFonts w:ascii="Arial" w:hAnsi="Arial"/>
          <w:sz w:val="20"/>
          <w:lang w:val="es-MX"/>
        </w:rPr>
        <w:t xml:space="preserve"> </w:t>
      </w:r>
      <w:r w:rsidRPr="00095FA3">
        <w:rPr>
          <w:rFonts w:ascii="Arial" w:hAnsi="Arial"/>
          <w:sz w:val="20"/>
          <w:lang w:val="es-MX"/>
        </w:rPr>
        <w:t>lento inicio de las inversiones cofinanciadas por la UE dentro del nuevo presupuesto. Otros</w:t>
      </w:r>
      <w:r>
        <w:rPr>
          <w:rFonts w:ascii="Arial" w:hAnsi="Arial"/>
          <w:sz w:val="20"/>
          <w:lang w:val="es-MX"/>
        </w:rPr>
        <w:t xml:space="preserve"> </w:t>
      </w:r>
      <w:r w:rsidRPr="00095FA3">
        <w:rPr>
          <w:rFonts w:ascii="Arial" w:hAnsi="Arial"/>
          <w:sz w:val="20"/>
          <w:lang w:val="es-MX"/>
        </w:rPr>
        <w:t>factores están relacionados con riesgos internos y externos, incluyendo posibles modificaciones</w:t>
      </w:r>
      <w:r>
        <w:rPr>
          <w:rFonts w:ascii="Arial" w:hAnsi="Arial"/>
          <w:sz w:val="20"/>
          <w:lang w:val="es-MX"/>
        </w:rPr>
        <w:t xml:space="preserve"> </w:t>
      </w:r>
      <w:r w:rsidRPr="00095FA3">
        <w:rPr>
          <w:rFonts w:ascii="Arial" w:hAnsi="Arial"/>
          <w:sz w:val="20"/>
          <w:lang w:val="es-MX"/>
        </w:rPr>
        <w:t xml:space="preserve">legales, fluctuaciones en los tipos de cambio y las eventuales consecuencias del </w:t>
      </w:r>
      <w:proofErr w:type="spellStart"/>
      <w:r w:rsidRPr="00095FA3">
        <w:rPr>
          <w:rFonts w:ascii="Arial" w:hAnsi="Arial"/>
          <w:sz w:val="20"/>
          <w:lang w:val="es-MX"/>
        </w:rPr>
        <w:t>Brexit</w:t>
      </w:r>
      <w:proofErr w:type="spellEnd"/>
      <w:r w:rsidRPr="00095FA3">
        <w:rPr>
          <w:rFonts w:ascii="Arial" w:hAnsi="Arial"/>
          <w:sz w:val="20"/>
          <w:lang w:val="es-MX"/>
        </w:rPr>
        <w:t>.</w:t>
      </w:r>
    </w:p>
    <w:p w:rsidR="00095FA3" w:rsidRDefault="00095FA3" w:rsidP="00095FA3">
      <w:pPr>
        <w:suppressAutoHyphens/>
        <w:spacing w:line="270" w:lineRule="exact"/>
        <w:jc w:val="both"/>
        <w:rPr>
          <w:rFonts w:ascii="Arial" w:hAnsi="Arial"/>
          <w:sz w:val="20"/>
          <w:lang w:val="es-MX"/>
        </w:rPr>
      </w:pPr>
    </w:p>
    <w:p w:rsidR="00741AF3" w:rsidRDefault="00095FA3" w:rsidP="00741AF3">
      <w:pPr>
        <w:suppressAutoHyphens/>
        <w:spacing w:line="270" w:lineRule="exact"/>
        <w:jc w:val="both"/>
        <w:rPr>
          <w:rFonts w:ascii="Arial" w:hAnsi="Arial"/>
          <w:b/>
          <w:sz w:val="20"/>
          <w:lang w:val="es-MX"/>
        </w:rPr>
      </w:pPr>
      <w:r w:rsidRPr="00095FA3">
        <w:rPr>
          <w:rFonts w:ascii="Arial" w:hAnsi="Arial"/>
          <w:b/>
          <w:sz w:val="20"/>
          <w:lang w:val="es-MX"/>
        </w:rPr>
        <w:t>Disminución en el número de insolvencias debido a la nueva legislación</w:t>
      </w:r>
    </w:p>
    <w:p w:rsidR="00A46624" w:rsidRPr="00DE4DE2" w:rsidRDefault="00A46624" w:rsidP="00741AF3">
      <w:pPr>
        <w:suppressAutoHyphens/>
        <w:spacing w:line="270" w:lineRule="exact"/>
        <w:jc w:val="both"/>
        <w:rPr>
          <w:rFonts w:ascii="Arial" w:hAnsi="Arial" w:cs="Arial"/>
          <w:b/>
          <w:bCs/>
          <w:sz w:val="20"/>
          <w:szCs w:val="20"/>
          <w:lang w:val="es-MX"/>
        </w:rPr>
      </w:pPr>
    </w:p>
    <w:p w:rsidR="00095FA3" w:rsidRDefault="00095FA3" w:rsidP="00095FA3">
      <w:pPr>
        <w:suppressAutoHyphens/>
        <w:spacing w:line="270" w:lineRule="exact"/>
        <w:jc w:val="both"/>
        <w:rPr>
          <w:rFonts w:ascii="Arial" w:hAnsi="Arial"/>
          <w:sz w:val="20"/>
          <w:lang w:val="es-MX"/>
        </w:rPr>
      </w:pPr>
      <w:r w:rsidRPr="00095FA3">
        <w:rPr>
          <w:rFonts w:ascii="Arial" w:hAnsi="Arial"/>
          <w:sz w:val="20"/>
          <w:lang w:val="es-MX"/>
        </w:rPr>
        <w:t>El número de insolvencias ha ido disminuyendo desde 2014.</w:t>
      </w:r>
      <w:r>
        <w:rPr>
          <w:rFonts w:ascii="Arial" w:hAnsi="Arial"/>
          <w:sz w:val="20"/>
          <w:lang w:val="es-MX"/>
        </w:rPr>
        <w:t xml:space="preserve"> En el primer semestre de 2016, </w:t>
      </w:r>
      <w:r w:rsidRPr="00095FA3">
        <w:rPr>
          <w:rFonts w:ascii="Arial" w:hAnsi="Arial"/>
          <w:sz w:val="20"/>
          <w:lang w:val="es-MX"/>
        </w:rPr>
        <w:t>se</w:t>
      </w:r>
      <w:r>
        <w:rPr>
          <w:rFonts w:ascii="Arial" w:hAnsi="Arial"/>
          <w:sz w:val="20"/>
          <w:lang w:val="es-MX"/>
        </w:rPr>
        <w:t xml:space="preserve"> </w:t>
      </w:r>
      <w:r w:rsidRPr="00095FA3">
        <w:rPr>
          <w:rFonts w:ascii="Arial" w:hAnsi="Arial"/>
          <w:sz w:val="20"/>
          <w:lang w:val="es-MX"/>
        </w:rPr>
        <w:t>registraron 328 procedimientos, una caída del 14,1% respecto al año anterior. La nueva</w:t>
      </w:r>
      <w:r>
        <w:rPr>
          <w:rFonts w:ascii="Arial" w:hAnsi="Arial"/>
          <w:sz w:val="20"/>
          <w:lang w:val="es-MX"/>
        </w:rPr>
        <w:t xml:space="preserve"> </w:t>
      </w:r>
      <w:r w:rsidRPr="00095FA3">
        <w:rPr>
          <w:rFonts w:ascii="Arial" w:hAnsi="Arial"/>
          <w:sz w:val="20"/>
          <w:lang w:val="es-MX"/>
        </w:rPr>
        <w:t>legislación aprobada este año ofrece ahora alternativas a los procedimientos de quiebra para</w:t>
      </w:r>
      <w:r>
        <w:rPr>
          <w:rFonts w:ascii="Arial" w:hAnsi="Arial"/>
          <w:sz w:val="20"/>
          <w:lang w:val="es-MX"/>
        </w:rPr>
        <w:t xml:space="preserve"> </w:t>
      </w:r>
      <w:r w:rsidRPr="00095FA3">
        <w:rPr>
          <w:rFonts w:ascii="Arial" w:hAnsi="Arial"/>
          <w:sz w:val="20"/>
          <w:lang w:val="es-MX"/>
        </w:rPr>
        <w:t>las empresas, por lo que utilizarán más frecuentemente el procedimiento de restructuración de</w:t>
      </w:r>
      <w:r>
        <w:rPr>
          <w:rFonts w:ascii="Arial" w:hAnsi="Arial"/>
          <w:sz w:val="20"/>
          <w:lang w:val="es-MX"/>
        </w:rPr>
        <w:t xml:space="preserve"> </w:t>
      </w:r>
      <w:r w:rsidRPr="00095FA3">
        <w:rPr>
          <w:rFonts w:ascii="Arial" w:hAnsi="Arial"/>
          <w:sz w:val="20"/>
          <w:lang w:val="es-MX"/>
        </w:rPr>
        <w:t>lo que ya lo han hecho en el segundo trimestre de este año.</w:t>
      </w:r>
    </w:p>
    <w:p w:rsidR="00095FA3" w:rsidRDefault="00095FA3" w:rsidP="00095FA3">
      <w:pPr>
        <w:suppressAutoHyphens/>
        <w:spacing w:line="270" w:lineRule="exact"/>
        <w:jc w:val="both"/>
        <w:rPr>
          <w:rFonts w:ascii="Arial" w:hAnsi="Arial"/>
          <w:sz w:val="20"/>
          <w:lang w:val="es-MX"/>
        </w:rPr>
      </w:pPr>
    </w:p>
    <w:p w:rsidR="00095FA3" w:rsidRDefault="00095FA3" w:rsidP="00095FA3">
      <w:pPr>
        <w:suppressAutoHyphens/>
        <w:spacing w:line="270" w:lineRule="exact"/>
        <w:jc w:val="both"/>
        <w:rPr>
          <w:rFonts w:ascii="Arial" w:hAnsi="Arial"/>
          <w:i/>
          <w:iCs/>
          <w:sz w:val="20"/>
          <w:lang w:val="es-ES"/>
        </w:rPr>
      </w:pPr>
      <w:r w:rsidRPr="00095FA3">
        <w:rPr>
          <w:rFonts w:ascii="Arial" w:hAnsi="Arial"/>
          <w:i/>
          <w:iCs/>
          <w:sz w:val="20"/>
          <w:lang w:val="es-ES"/>
        </w:rPr>
        <w:t>“La tendencia a la baja de las insolvencias empresariales se mantendrá en los próximos trimestres. No obstante, el contexto está cambiando, hay menos insolvencias pero más procesos de restructuración",</w:t>
      </w:r>
      <w:r w:rsidRPr="00095FA3">
        <w:rPr>
          <w:rFonts w:ascii="Arial" w:hAnsi="Arial"/>
          <w:sz w:val="20"/>
          <w:lang w:val="es-ES"/>
        </w:rPr>
        <w:t xml:space="preserve"> explica </w:t>
      </w:r>
      <w:proofErr w:type="spellStart"/>
      <w:r w:rsidRPr="00095FA3">
        <w:rPr>
          <w:rFonts w:ascii="Arial" w:hAnsi="Arial"/>
          <w:sz w:val="20"/>
          <w:lang w:val="es-ES"/>
        </w:rPr>
        <w:t>Grzegorz</w:t>
      </w:r>
      <w:proofErr w:type="spellEnd"/>
      <w:r w:rsidRPr="00095FA3">
        <w:rPr>
          <w:rFonts w:ascii="Arial" w:hAnsi="Arial"/>
          <w:sz w:val="20"/>
          <w:lang w:val="es-ES"/>
        </w:rPr>
        <w:t xml:space="preserve"> </w:t>
      </w:r>
      <w:proofErr w:type="spellStart"/>
      <w:r w:rsidRPr="00095FA3">
        <w:rPr>
          <w:rFonts w:ascii="Arial" w:hAnsi="Arial"/>
          <w:sz w:val="20"/>
          <w:lang w:val="es-ES"/>
        </w:rPr>
        <w:t>Sielewicz</w:t>
      </w:r>
      <w:proofErr w:type="spellEnd"/>
      <w:r w:rsidRPr="00095FA3">
        <w:rPr>
          <w:rFonts w:ascii="Arial" w:hAnsi="Arial"/>
          <w:sz w:val="20"/>
          <w:lang w:val="es-ES"/>
        </w:rPr>
        <w:t>, economista de Coface para Europa Central y Oriental.</w:t>
      </w:r>
      <w:r w:rsidRPr="00095FA3">
        <w:rPr>
          <w:rFonts w:ascii="Arial" w:hAnsi="Arial"/>
          <w:i/>
          <w:iCs/>
          <w:sz w:val="20"/>
          <w:lang w:val="es-ES"/>
        </w:rPr>
        <w:t xml:space="preserve"> </w:t>
      </w:r>
      <w:r>
        <w:rPr>
          <w:rFonts w:ascii="Arial" w:hAnsi="Arial"/>
          <w:i/>
          <w:iCs/>
          <w:sz w:val="20"/>
          <w:lang w:val="es-ES"/>
        </w:rPr>
        <w:t>“</w:t>
      </w:r>
      <w:r w:rsidRPr="00095FA3">
        <w:rPr>
          <w:rFonts w:ascii="Arial" w:hAnsi="Arial"/>
          <w:i/>
          <w:iCs/>
          <w:sz w:val="20"/>
          <w:lang w:val="es-ES"/>
        </w:rPr>
        <w:t>Los nuevos procedimientos de restructuración, implementados gradualmente este año, han ganado popularidad como solución para las empresas que tienen problemas de liquidez. Cada vez más empresas reanudan sus operaciones comerciales, en lugar de presentar procesos de insolvencia.”</w:t>
      </w:r>
    </w:p>
    <w:p w:rsidR="00095FA3" w:rsidRDefault="00095FA3" w:rsidP="00095FA3">
      <w:pPr>
        <w:suppressAutoHyphens/>
        <w:spacing w:line="270" w:lineRule="exact"/>
        <w:jc w:val="both"/>
        <w:rPr>
          <w:rFonts w:ascii="Arial" w:hAnsi="Arial"/>
          <w:i/>
          <w:iCs/>
          <w:sz w:val="20"/>
          <w:lang w:val="es-ES"/>
        </w:rPr>
      </w:pPr>
    </w:p>
    <w:p w:rsidR="00095FA3" w:rsidRDefault="00095FA3" w:rsidP="00095FA3">
      <w:pPr>
        <w:suppressAutoHyphens/>
        <w:spacing w:line="270" w:lineRule="exact"/>
        <w:jc w:val="both"/>
        <w:rPr>
          <w:rFonts w:ascii="Arial" w:hAnsi="Arial"/>
          <w:sz w:val="20"/>
          <w:lang w:val="es-MX"/>
        </w:rPr>
      </w:pPr>
      <w:r w:rsidRPr="00095FA3">
        <w:rPr>
          <w:rFonts w:ascii="Arial" w:hAnsi="Arial"/>
          <w:sz w:val="20"/>
          <w:lang w:val="es-MX"/>
        </w:rPr>
        <w:t>Aunque Coface prevé un descenso del 8,9% en las insolvencias y restructuraciones a finales de 2016, esta estimación se podría ver afectada por un crecimiento mayor en los procesos de restructuración. Se espera que los procesos decrezcan un 4,8% en 2017.</w:t>
      </w:r>
    </w:p>
    <w:p w:rsidR="00095FA3" w:rsidRDefault="00095FA3" w:rsidP="00095FA3">
      <w:pPr>
        <w:suppressAutoHyphens/>
        <w:spacing w:line="270" w:lineRule="exact"/>
        <w:jc w:val="both"/>
        <w:rPr>
          <w:rFonts w:ascii="Arial" w:hAnsi="Arial"/>
          <w:sz w:val="20"/>
          <w:lang w:val="es-MX"/>
        </w:rPr>
      </w:pPr>
    </w:p>
    <w:p w:rsidR="00095FA3" w:rsidRDefault="00095FA3" w:rsidP="00095FA3">
      <w:pPr>
        <w:suppressAutoHyphens/>
        <w:spacing w:line="270" w:lineRule="exact"/>
        <w:jc w:val="both"/>
        <w:rPr>
          <w:rFonts w:ascii="Arial" w:hAnsi="Arial"/>
          <w:b/>
          <w:bCs/>
          <w:sz w:val="20"/>
          <w:lang w:val="es-AR"/>
        </w:rPr>
      </w:pPr>
      <w:r w:rsidRPr="00095FA3">
        <w:rPr>
          <w:rFonts w:ascii="Arial" w:hAnsi="Arial"/>
          <w:b/>
          <w:bCs/>
          <w:sz w:val="20"/>
          <w:lang w:val="es-AR"/>
        </w:rPr>
        <w:t>El consumo privado es el principal motor del crecimiento polaco</w:t>
      </w:r>
    </w:p>
    <w:p w:rsidR="00D30AF2" w:rsidRDefault="00D30AF2" w:rsidP="00095FA3">
      <w:pPr>
        <w:suppressAutoHyphens/>
        <w:spacing w:line="270" w:lineRule="exact"/>
        <w:jc w:val="both"/>
        <w:rPr>
          <w:rFonts w:ascii="Arial" w:hAnsi="Arial"/>
          <w:sz w:val="20"/>
          <w:lang w:val="es-AR"/>
        </w:rPr>
      </w:pPr>
    </w:p>
    <w:p w:rsidR="00095FA3" w:rsidRPr="00095FA3" w:rsidRDefault="00095FA3" w:rsidP="00095FA3">
      <w:pPr>
        <w:suppressAutoHyphens/>
        <w:spacing w:line="270" w:lineRule="exact"/>
        <w:jc w:val="both"/>
        <w:rPr>
          <w:rFonts w:ascii="Arial" w:hAnsi="Arial"/>
          <w:sz w:val="20"/>
          <w:lang w:val="es-MX"/>
        </w:rPr>
      </w:pPr>
      <w:r w:rsidRPr="00095FA3">
        <w:rPr>
          <w:rFonts w:ascii="Arial" w:hAnsi="Arial"/>
          <w:sz w:val="20"/>
          <w:lang w:val="es-MX"/>
        </w:rPr>
        <w:t>El fuerte crecimiento económico de Polonia está impulsado principalmente por el consumo. A pesar de qu</w:t>
      </w:r>
      <w:r>
        <w:rPr>
          <w:rFonts w:ascii="Arial" w:hAnsi="Arial"/>
          <w:sz w:val="20"/>
          <w:lang w:val="es-MX"/>
        </w:rPr>
        <w:t>e el país s</w:t>
      </w:r>
      <w:r w:rsidRPr="00095FA3">
        <w:rPr>
          <w:rFonts w:ascii="Arial" w:hAnsi="Arial"/>
          <w:sz w:val="20"/>
          <w:lang w:val="es-MX"/>
        </w:rPr>
        <w:t xml:space="preserve">e enfrenta a una desaceleración de los fondos estructurales y de cohesión de la UE, la contribución del consumo privado se intensificará este año, especialmente con las </w:t>
      </w:r>
      <w:r w:rsidRPr="00095FA3">
        <w:rPr>
          <w:rFonts w:ascii="Arial" w:hAnsi="Arial"/>
          <w:sz w:val="20"/>
          <w:lang w:val="es-MX"/>
        </w:rPr>
        <w:t>continuas</w:t>
      </w:r>
      <w:r w:rsidRPr="00095FA3">
        <w:rPr>
          <w:rFonts w:ascii="Arial" w:hAnsi="Arial"/>
          <w:sz w:val="20"/>
          <w:lang w:val="es-MX"/>
        </w:rPr>
        <w:t xml:space="preserve"> mejoras del mercado de trabajo. La tasa de desempleo polaca ha descendido al nivel más bajo en  25 años, los salarios siguen registrando un fuerte crecimiento y la inflación sigue siendo baja. Este entorno indica unas buenas perspectivas para el sector minorista.</w:t>
      </w:r>
    </w:p>
    <w:p w:rsidR="00095FA3" w:rsidRPr="00095FA3" w:rsidRDefault="00095FA3" w:rsidP="00095FA3">
      <w:pPr>
        <w:suppressAutoHyphens/>
        <w:spacing w:line="270" w:lineRule="exact"/>
        <w:jc w:val="both"/>
        <w:rPr>
          <w:rFonts w:ascii="Arial" w:hAnsi="Arial"/>
          <w:sz w:val="20"/>
          <w:lang w:val="es-MX"/>
        </w:rPr>
      </w:pPr>
    </w:p>
    <w:p w:rsidR="00235980" w:rsidRDefault="00095FA3" w:rsidP="00235980">
      <w:pPr>
        <w:suppressAutoHyphens/>
        <w:spacing w:line="270" w:lineRule="exact"/>
        <w:jc w:val="both"/>
        <w:rPr>
          <w:rFonts w:ascii="Arial" w:hAnsi="Arial"/>
          <w:sz w:val="20"/>
          <w:lang w:val="es-MX"/>
        </w:rPr>
      </w:pPr>
      <w:r w:rsidRPr="00095FA3">
        <w:rPr>
          <w:rFonts w:ascii="Arial" w:hAnsi="Arial"/>
          <w:sz w:val="20"/>
          <w:lang w:val="es-MX"/>
        </w:rPr>
        <w:t>Los datos sobre la estructura económica de Polonia muestran que el consumo privado representa una mayor proporción del PIB nominal que las exportaciones, con el consumo de los hogares aportando el 58% del PIB el año pasado. El análisis de correlaciones también revela que el consumo privado tiene un impacto mayor que las exportaciones sobre el número de insolvencias empresariales en Polonia. Sin embargo, la rentabilidad de las empresas está siendo reforzada por las operaciones empresariales en mercados extranjeros. Las perspectivas son particularmente positivas para los fabricantes de mercancías con alta demanda externa. Estos sectores incluyen la automoción, mobiliario, productos de línea blanca y TI. Al mismo tiempo, los beneficios aumentan para las empresas que dirigen directamente sus productos para satisfacer la creciente demanda de los hogares. Los minoristas más importantes están ahora sujetos a una nueva carga fiscal aprobada el 1 de septiembre de 2016. No obstante, esto debería compensarse con el aumento del gasto de los consumidores. El consumo privado se espera que sea un motor crucial para el crecimiento de la economía polaca en los siguientes trimestres. Por lo tanto, el escenario de las insolvencias debería sufrir mejoras adicionales, mientras que la nueva legislación aprobada recientemente ayudará a las empresas que se enfrentan a problemas de liquidez a reanudar sus operaciones comerciales de forma eficaz.</w:t>
      </w:r>
    </w:p>
    <w:p w:rsidR="00D30AF2" w:rsidRDefault="00D30AF2" w:rsidP="00235980">
      <w:pPr>
        <w:suppressAutoHyphens/>
        <w:spacing w:line="270" w:lineRule="exact"/>
        <w:jc w:val="both"/>
        <w:rPr>
          <w:rFonts w:ascii="Arial" w:hAnsi="Arial"/>
          <w:sz w:val="20"/>
          <w:lang w:val="es-MX"/>
        </w:rPr>
      </w:pPr>
    </w:p>
    <w:p w:rsidR="00D30AF2" w:rsidRDefault="00D30AF2" w:rsidP="00235980">
      <w:pPr>
        <w:suppressAutoHyphens/>
        <w:spacing w:line="270" w:lineRule="exact"/>
        <w:jc w:val="both"/>
        <w:rPr>
          <w:rFonts w:ascii="Arial" w:hAnsi="Arial"/>
          <w:sz w:val="20"/>
          <w:lang w:val="es-MX"/>
        </w:rPr>
      </w:pPr>
    </w:p>
    <w:p w:rsidR="00D30AF2" w:rsidRDefault="00D30AF2" w:rsidP="00235980">
      <w:pPr>
        <w:suppressAutoHyphens/>
        <w:spacing w:line="270" w:lineRule="exact"/>
        <w:jc w:val="both"/>
        <w:rPr>
          <w:rFonts w:ascii="Arial" w:hAnsi="Arial"/>
          <w:sz w:val="20"/>
          <w:lang w:val="es-MX"/>
        </w:rPr>
      </w:pPr>
      <w:bookmarkStart w:id="0" w:name="_GoBack"/>
      <w:bookmarkEnd w:id="0"/>
    </w:p>
    <w:tbl>
      <w:tblPr>
        <w:tblW w:w="8540" w:type="dxa"/>
        <w:jc w:val="center"/>
        <w:tblLayout w:type="fixed"/>
        <w:tblCellMar>
          <w:left w:w="113" w:type="dxa"/>
          <w:right w:w="170" w:type="dxa"/>
        </w:tblCellMar>
        <w:tblLook w:val="00A0" w:firstRow="1" w:lastRow="0" w:firstColumn="1" w:lastColumn="0" w:noHBand="0" w:noVBand="0"/>
      </w:tblPr>
      <w:tblGrid>
        <w:gridCol w:w="8540"/>
      </w:tblGrid>
      <w:tr w:rsidR="007E6346" w:rsidRPr="000B4AFF" w:rsidTr="002F5E95">
        <w:trPr>
          <w:trHeight w:val="220"/>
          <w:jc w:val="center"/>
        </w:trPr>
        <w:tc>
          <w:tcPr>
            <w:tcW w:w="8540" w:type="dxa"/>
            <w:shd w:val="clear" w:color="auto" w:fill="E9EDF4"/>
          </w:tcPr>
          <w:p w:rsidR="007E6346" w:rsidRDefault="007E6346" w:rsidP="002F5E95">
            <w:pPr>
              <w:spacing w:before="60" w:after="60" w:line="220" w:lineRule="atLeast"/>
              <w:ind w:right="113"/>
              <w:jc w:val="both"/>
              <w:rPr>
                <w:rFonts w:ascii="Arial" w:hAnsi="Arial"/>
                <w:b/>
                <w:bCs/>
                <w:sz w:val="18"/>
                <w:lang w:val="es-MX"/>
              </w:rPr>
            </w:pPr>
            <w:r>
              <w:rPr>
                <w:rFonts w:ascii="Arial" w:hAnsi="Arial"/>
                <w:b/>
                <w:bCs/>
                <w:sz w:val="18"/>
                <w:lang w:val="es-MX"/>
              </w:rPr>
              <w:t>Acerca de</w:t>
            </w:r>
            <w:r w:rsidRPr="002F682B">
              <w:rPr>
                <w:rFonts w:ascii="Arial" w:hAnsi="Arial"/>
                <w:b/>
                <w:bCs/>
                <w:sz w:val="18"/>
                <w:lang w:val="es-MX"/>
              </w:rPr>
              <w:t xml:space="preserve"> Coface</w:t>
            </w:r>
          </w:p>
          <w:p w:rsidR="007E6346" w:rsidRPr="002F682B" w:rsidRDefault="007E6346" w:rsidP="002F5E95">
            <w:pPr>
              <w:spacing w:before="60" w:after="60" w:line="220" w:lineRule="atLeast"/>
              <w:ind w:right="113"/>
              <w:jc w:val="both"/>
              <w:rPr>
                <w:rFonts w:ascii="Arial" w:hAnsi="Arial"/>
                <w:b/>
                <w:bCs/>
                <w:sz w:val="18"/>
                <w:lang w:val="es-MX"/>
              </w:rPr>
            </w:pPr>
          </w:p>
          <w:p w:rsidR="007E6346" w:rsidRPr="000A6A92" w:rsidRDefault="007E6346" w:rsidP="002F5E95">
            <w:pPr>
              <w:pStyle w:val="Piedepgina"/>
              <w:spacing w:line="200" w:lineRule="exact"/>
              <w:ind w:left="101"/>
              <w:jc w:val="both"/>
              <w:rPr>
                <w:rFonts w:ascii="Arial" w:hAnsi="Arial" w:cs="Arial"/>
                <w:sz w:val="18"/>
                <w:szCs w:val="18"/>
                <w:lang w:val="es-MX"/>
              </w:rPr>
            </w:pPr>
            <w:r w:rsidRPr="0027028B">
              <w:rPr>
                <w:rFonts w:ascii="Arial" w:hAnsi="Arial" w:cs="Arial"/>
                <w:sz w:val="18"/>
                <w:szCs w:val="18"/>
                <w:lang w:val="es-MX"/>
              </w:rPr>
              <w:t xml:space="preserve">El Grupo Coface, líder mundial en seguro de crédito, ofrece a empresas de todo el mundo soluciones para protegerlas contra el riesgo de impago de sus clientes, tanto en el mercado nacional como en exportación. </w:t>
            </w:r>
            <w:r>
              <w:rPr>
                <w:rFonts w:ascii="Arial" w:hAnsi="Arial" w:cs="Arial"/>
                <w:sz w:val="18"/>
                <w:szCs w:val="18"/>
                <w:lang w:val="es-MX"/>
              </w:rPr>
              <w:t>En 2015, el Grupo, apoyado por sus 4.500 empleados, obtuvo</w:t>
            </w:r>
            <w:r w:rsidRPr="00CD22FD">
              <w:rPr>
                <w:rFonts w:ascii="Arial" w:hAnsi="Arial" w:cs="Arial"/>
                <w:sz w:val="18"/>
                <w:szCs w:val="18"/>
                <w:lang w:val="es-MX"/>
              </w:rPr>
              <w:t xml:space="preserve"> una cifra de negocios consolidada de 1.4</w:t>
            </w:r>
            <w:r>
              <w:rPr>
                <w:rFonts w:ascii="Arial" w:hAnsi="Arial" w:cs="Arial"/>
                <w:sz w:val="18"/>
                <w:szCs w:val="18"/>
                <w:lang w:val="es-MX"/>
              </w:rPr>
              <w:t>90</w:t>
            </w:r>
            <w:r w:rsidRPr="00CD22FD">
              <w:rPr>
                <w:rFonts w:ascii="Arial" w:hAnsi="Arial" w:cs="Arial"/>
                <w:sz w:val="18"/>
                <w:szCs w:val="18"/>
                <w:lang w:val="es-MX"/>
              </w:rPr>
              <w:t xml:space="preserve"> millones de euros. </w:t>
            </w:r>
            <w:r w:rsidRPr="007740D1">
              <w:rPr>
                <w:rFonts w:ascii="Arial" w:hAnsi="Arial" w:cs="Arial"/>
                <w:color w:val="000000"/>
                <w:sz w:val="18"/>
                <w:szCs w:val="18"/>
                <w:lang w:val="es-ES_tradnl"/>
              </w:rPr>
              <w:t xml:space="preserve">Presente directa o indirectamente en </w:t>
            </w:r>
            <w:r>
              <w:rPr>
                <w:rFonts w:ascii="Arial" w:hAnsi="Arial" w:cs="Arial"/>
                <w:color w:val="000000"/>
                <w:sz w:val="18"/>
                <w:szCs w:val="18"/>
                <w:lang w:val="es-ES_tradnl"/>
              </w:rPr>
              <w:t>100</w:t>
            </w:r>
            <w:r w:rsidRPr="007740D1">
              <w:rPr>
                <w:rFonts w:ascii="Arial" w:hAnsi="Arial" w:cs="Arial"/>
                <w:color w:val="000000"/>
                <w:sz w:val="18"/>
                <w:szCs w:val="18"/>
                <w:lang w:val="es-ES_tradnl"/>
              </w:rPr>
              <w:t xml:space="preserve"> países, asegura transacciones comerciales de </w:t>
            </w:r>
            <w:r>
              <w:rPr>
                <w:rFonts w:ascii="Arial" w:hAnsi="Arial" w:cs="Arial"/>
                <w:color w:val="000000"/>
                <w:sz w:val="18"/>
                <w:szCs w:val="18"/>
                <w:lang w:val="es-ES_tradnl"/>
              </w:rPr>
              <w:t>40</w:t>
            </w:r>
            <w:r w:rsidRPr="007740D1">
              <w:rPr>
                <w:rFonts w:ascii="Arial" w:hAnsi="Arial" w:cs="Arial"/>
                <w:color w:val="000000"/>
                <w:sz w:val="18"/>
                <w:szCs w:val="18"/>
                <w:lang w:val="es-ES_tradnl"/>
              </w:rPr>
              <w:t>.000 empresas en más de 200 países.</w:t>
            </w:r>
            <w:r>
              <w:rPr>
                <w:rFonts w:ascii="Arial" w:hAnsi="Arial" w:cs="Arial"/>
                <w:sz w:val="18"/>
                <w:szCs w:val="18"/>
                <w:lang w:val="es-MX"/>
              </w:rPr>
              <w:t xml:space="preserve"> </w:t>
            </w:r>
            <w:r w:rsidRPr="000A6A92">
              <w:rPr>
                <w:rFonts w:ascii="Arial" w:hAnsi="Arial" w:cs="Arial"/>
                <w:sz w:val="18"/>
                <w:szCs w:val="18"/>
                <w:lang w:val="es-MX"/>
              </w:rPr>
              <w:t xml:space="preserve">Cada trimestre, Coface publica sus evaluaciones de riesgo país para 160 países, basadas en su conocimiento único del comportamiento de pago de las empresas y la experiencia de sus </w:t>
            </w:r>
            <w:r>
              <w:rPr>
                <w:rFonts w:ascii="Arial" w:hAnsi="Arial" w:cs="Arial"/>
                <w:sz w:val="18"/>
                <w:szCs w:val="18"/>
                <w:lang w:val="es-MX"/>
              </w:rPr>
              <w:t>660</w:t>
            </w:r>
            <w:r w:rsidRPr="000A6A92">
              <w:rPr>
                <w:rFonts w:ascii="Arial" w:hAnsi="Arial" w:cs="Arial"/>
                <w:sz w:val="18"/>
                <w:szCs w:val="18"/>
                <w:lang w:val="es-MX"/>
              </w:rPr>
              <w:t xml:space="preserve"> analistas de riesgos, situados cerca de nuestros clientes y sus deudores.</w:t>
            </w:r>
          </w:p>
          <w:p w:rsidR="007E6346" w:rsidRPr="000A6A92" w:rsidRDefault="007E6346" w:rsidP="002F5E95">
            <w:pPr>
              <w:pStyle w:val="Piedepgina"/>
              <w:spacing w:line="200" w:lineRule="exact"/>
              <w:ind w:left="101"/>
              <w:jc w:val="both"/>
              <w:rPr>
                <w:rFonts w:ascii="Arial" w:hAnsi="Arial" w:cs="Arial"/>
                <w:sz w:val="18"/>
                <w:szCs w:val="18"/>
                <w:lang w:val="es-MX"/>
              </w:rPr>
            </w:pPr>
          </w:p>
          <w:p w:rsidR="007E6346" w:rsidRDefault="007E6346" w:rsidP="002F5E95">
            <w:pPr>
              <w:pStyle w:val="Piedepgina"/>
              <w:spacing w:line="200" w:lineRule="exact"/>
              <w:ind w:left="101"/>
              <w:jc w:val="both"/>
              <w:rPr>
                <w:rFonts w:ascii="Arial" w:hAnsi="Arial" w:cs="Arial"/>
                <w:sz w:val="18"/>
                <w:szCs w:val="18"/>
                <w:lang w:val="es-MX"/>
              </w:rPr>
            </w:pPr>
            <w:r w:rsidRPr="002732B0">
              <w:rPr>
                <w:rFonts w:ascii="Arial" w:hAnsi="Arial" w:cs="Arial"/>
                <w:sz w:val="18"/>
                <w:szCs w:val="18"/>
                <w:lang w:val="es-MX"/>
              </w:rPr>
              <w:t>En Francia, Coface gestiona las garantías públicas a la exportación por cuenta del Estado</w:t>
            </w:r>
            <w:r w:rsidRPr="00840220">
              <w:rPr>
                <w:rFonts w:ascii="Arial" w:hAnsi="Arial" w:cs="Arial"/>
                <w:sz w:val="18"/>
                <w:szCs w:val="18"/>
                <w:lang w:val="es-MX"/>
              </w:rPr>
              <w:t xml:space="preserve"> Francés.</w:t>
            </w:r>
          </w:p>
          <w:p w:rsidR="007E6346" w:rsidRDefault="007E6346" w:rsidP="002F5E95">
            <w:pPr>
              <w:pStyle w:val="Piedepgina"/>
              <w:spacing w:line="200" w:lineRule="exact"/>
              <w:ind w:left="101"/>
              <w:jc w:val="both"/>
              <w:rPr>
                <w:rFonts w:ascii="Arial" w:hAnsi="Arial" w:cs="Arial"/>
                <w:sz w:val="18"/>
                <w:szCs w:val="18"/>
                <w:lang w:val="es-ES_tradnl"/>
              </w:rPr>
            </w:pPr>
          </w:p>
          <w:p w:rsidR="007E6346" w:rsidRDefault="007E6346" w:rsidP="002F5E95">
            <w:pPr>
              <w:pStyle w:val="Piedepgina"/>
              <w:spacing w:line="200" w:lineRule="exact"/>
              <w:ind w:left="101"/>
              <w:jc w:val="both"/>
              <w:rPr>
                <w:rFonts w:ascii="Arial" w:hAnsi="Arial" w:cs="Arial"/>
                <w:sz w:val="18"/>
                <w:szCs w:val="18"/>
                <w:lang w:val="es-ES_tradnl"/>
              </w:rPr>
            </w:pPr>
            <w:r w:rsidRPr="002B6B7F">
              <w:rPr>
                <w:rFonts w:ascii="Arial" w:hAnsi="Arial" w:cs="Arial"/>
                <w:sz w:val="18"/>
                <w:szCs w:val="18"/>
                <w:lang w:val="es-ES_tradnl"/>
              </w:rPr>
              <w:t>Desde hace 1</w:t>
            </w:r>
            <w:r>
              <w:rPr>
                <w:rFonts w:ascii="Arial" w:hAnsi="Arial" w:cs="Arial"/>
                <w:sz w:val="18"/>
                <w:szCs w:val="18"/>
                <w:lang w:val="es-ES_tradnl"/>
              </w:rPr>
              <w:t>8</w:t>
            </w:r>
            <w:r w:rsidRPr="002B6B7F">
              <w:rPr>
                <w:rFonts w:ascii="Arial" w:hAnsi="Arial" w:cs="Arial"/>
                <w:sz w:val="18"/>
                <w:szCs w:val="18"/>
                <w:lang w:val="es-ES_tradnl"/>
              </w:rPr>
              <w:t xml:space="preserve"> años Coface está presente en la Argentina, brindando a las empresas locales las mismas protecciones y servicios con las que cuentan sus competidores en el mundo entero. Es N°1 en seguro de crédito en Argentina y en Latinoamérica.</w:t>
            </w:r>
          </w:p>
          <w:p w:rsidR="007E6346" w:rsidRPr="002B6B7F" w:rsidRDefault="007E6346" w:rsidP="002F5E95">
            <w:pPr>
              <w:pStyle w:val="Piedepgina"/>
              <w:spacing w:line="200" w:lineRule="exact"/>
              <w:ind w:left="101"/>
              <w:jc w:val="both"/>
              <w:rPr>
                <w:rFonts w:ascii="Arial" w:hAnsi="Arial" w:cs="Arial"/>
                <w:sz w:val="18"/>
                <w:szCs w:val="18"/>
                <w:lang w:val="es-ES_tradnl"/>
              </w:rPr>
            </w:pPr>
          </w:p>
          <w:p w:rsidR="007E6346" w:rsidRPr="00BA42A3" w:rsidRDefault="00D30AF2" w:rsidP="002F5E95">
            <w:pPr>
              <w:pStyle w:val="Piedepgina"/>
              <w:spacing w:line="200" w:lineRule="exact"/>
              <w:ind w:left="101"/>
              <w:jc w:val="center"/>
              <w:rPr>
                <w:rFonts w:ascii="Arial" w:hAnsi="Arial" w:cs="Arial"/>
                <w:color w:val="0000FF"/>
                <w:sz w:val="20"/>
                <w:szCs w:val="20"/>
                <w:u w:val="single"/>
                <w:lang w:val="en-US"/>
              </w:rPr>
            </w:pPr>
            <w:hyperlink r:id="rId9" w:history="1">
              <w:r w:rsidR="007E6346" w:rsidRPr="00BA42A3">
                <w:rPr>
                  <w:rStyle w:val="Hipervnculo"/>
                  <w:rFonts w:ascii="Arial" w:hAnsi="Arial" w:cs="Arial"/>
                  <w:sz w:val="20"/>
                  <w:szCs w:val="20"/>
                  <w:lang w:val="en-US"/>
                </w:rPr>
                <w:t>www.coface.com</w:t>
              </w:r>
            </w:hyperlink>
          </w:p>
          <w:p w:rsidR="007E6346" w:rsidRPr="00BA42A3" w:rsidRDefault="007E6346" w:rsidP="002F5E95">
            <w:pPr>
              <w:pStyle w:val="Piedepgina"/>
              <w:spacing w:line="200" w:lineRule="exact"/>
              <w:ind w:left="101"/>
              <w:jc w:val="center"/>
              <w:rPr>
                <w:rFonts w:ascii="Arial" w:hAnsi="Arial" w:cs="Arial"/>
                <w:color w:val="0000FF"/>
                <w:sz w:val="20"/>
                <w:szCs w:val="20"/>
                <w:u w:val="single"/>
                <w:lang w:val="en-US"/>
              </w:rPr>
            </w:pPr>
          </w:p>
          <w:p w:rsidR="007E6346" w:rsidRPr="00BA42A3" w:rsidRDefault="007E6346" w:rsidP="002F5E95">
            <w:pPr>
              <w:pStyle w:val="Piedepgina"/>
              <w:spacing w:line="200" w:lineRule="exact"/>
              <w:ind w:left="101"/>
              <w:jc w:val="center"/>
              <w:rPr>
                <w:rFonts w:ascii="Arial" w:hAnsi="Arial" w:cs="Arial"/>
                <w:color w:val="0000FF"/>
                <w:sz w:val="20"/>
                <w:szCs w:val="20"/>
                <w:u w:val="single"/>
                <w:lang w:val="en-US"/>
              </w:rPr>
            </w:pPr>
            <w:r>
              <w:rPr>
                <w:rFonts w:ascii="Arial" w:hAnsi="Arial" w:cs="Arial"/>
                <w:noProof/>
                <w:color w:val="0000FF"/>
                <w:sz w:val="20"/>
                <w:szCs w:val="20"/>
                <w:u w:val="single"/>
                <w:lang w:val="es-AR" w:eastAsia="es-AR" w:bidi="ar-SA"/>
              </w:rPr>
              <w:drawing>
                <wp:anchor distT="0" distB="0" distL="114300" distR="114300" simplePos="0" relativeHeight="251659264" behindDoc="0" locked="0" layoutInCell="1" allowOverlap="1" wp14:anchorId="145E1915" wp14:editId="78F4F60B">
                  <wp:simplePos x="0" y="0"/>
                  <wp:positionH relativeFrom="column">
                    <wp:posOffset>4382770</wp:posOffset>
                  </wp:positionH>
                  <wp:positionV relativeFrom="paragraph">
                    <wp:posOffset>52070</wp:posOffset>
                  </wp:positionV>
                  <wp:extent cx="535305" cy="509270"/>
                  <wp:effectExtent l="0" t="0" r="0" b="5080"/>
                  <wp:wrapNone/>
                  <wp:docPr id="6" name="Imagen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346" w:rsidRPr="00BA42A3" w:rsidRDefault="007E6346" w:rsidP="002F5E95">
            <w:pPr>
              <w:tabs>
                <w:tab w:val="left" w:pos="8202"/>
              </w:tabs>
              <w:autoSpaceDE w:val="0"/>
              <w:autoSpaceDN w:val="0"/>
              <w:adjustRightInd w:val="0"/>
              <w:ind w:right="1587"/>
              <w:rPr>
                <w:rFonts w:ascii="Arial" w:hAnsi="Arial" w:cs="Arial"/>
                <w:sz w:val="18"/>
                <w:szCs w:val="18"/>
                <w:lang w:val="en-US"/>
              </w:rPr>
            </w:pPr>
            <w:r w:rsidRPr="00BA42A3">
              <w:rPr>
                <w:rFonts w:ascii="Arial" w:hAnsi="Arial" w:cs="Arial"/>
                <w:sz w:val="18"/>
                <w:szCs w:val="18"/>
                <w:lang w:val="en-US"/>
              </w:rPr>
              <w:t xml:space="preserve">                                      Coface SA. is listed on Euronext Paris – Compartment A</w:t>
            </w:r>
          </w:p>
          <w:p w:rsidR="007E6346" w:rsidRDefault="007E6346" w:rsidP="002F5E95">
            <w:pPr>
              <w:pStyle w:val="Piedepgina"/>
              <w:spacing w:line="200" w:lineRule="exact"/>
              <w:ind w:left="101"/>
              <w:rPr>
                <w:rFonts w:ascii="Arial" w:hAnsi="Arial" w:cs="Arial"/>
                <w:color w:val="0000FF"/>
                <w:sz w:val="20"/>
                <w:szCs w:val="20"/>
                <w:u w:val="single"/>
              </w:rPr>
            </w:pPr>
            <w:r w:rsidRPr="00BA42A3">
              <w:rPr>
                <w:rFonts w:ascii="Arial" w:hAnsi="Arial" w:cs="Arial"/>
                <w:sz w:val="18"/>
                <w:szCs w:val="18"/>
                <w:lang w:val="en-US"/>
              </w:rPr>
              <w:t xml:space="preserve">                                                                     </w:t>
            </w:r>
            <w:r>
              <w:rPr>
                <w:rFonts w:ascii="Arial" w:hAnsi="Arial" w:cs="Arial"/>
                <w:sz w:val="18"/>
                <w:szCs w:val="18"/>
              </w:rPr>
              <w:t>ISIN: FR0010667147 / Ticker: COFA</w:t>
            </w:r>
          </w:p>
          <w:p w:rsidR="007E6346" w:rsidRPr="000B4AFF" w:rsidRDefault="007E6346" w:rsidP="00235980">
            <w:pPr>
              <w:pStyle w:val="textecontact"/>
              <w:spacing w:line="240" w:lineRule="atLeast"/>
              <w:ind w:right="113"/>
              <w:jc w:val="center"/>
              <w:rPr>
                <w:rFonts w:ascii="Arial" w:hAnsi="Arial" w:cs="Arial"/>
                <w:sz w:val="20"/>
                <w:szCs w:val="20"/>
                <w:u w:val="single"/>
                <w:lang w:val="es-MX"/>
              </w:rPr>
            </w:pPr>
          </w:p>
        </w:tc>
      </w:tr>
    </w:tbl>
    <w:p w:rsidR="007E6346" w:rsidRPr="00A0274F" w:rsidRDefault="007E6346" w:rsidP="00235980">
      <w:pPr>
        <w:suppressAutoHyphens/>
        <w:spacing w:line="270" w:lineRule="exact"/>
        <w:jc w:val="both"/>
        <w:rPr>
          <w:rFonts w:ascii="Arial" w:hAnsi="Arial" w:cs="Arial"/>
          <w:bCs/>
          <w:sz w:val="20"/>
          <w:szCs w:val="20"/>
          <w:lang w:val="es-MX"/>
        </w:rPr>
      </w:pPr>
    </w:p>
    <w:sectPr w:rsidR="007E6346" w:rsidRPr="00A0274F" w:rsidSect="00D30AF2">
      <w:headerReference w:type="default" r:id="rId11"/>
      <w:headerReference w:type="first" r:id="rId12"/>
      <w:footerReference w:type="first" r:id="rId13"/>
      <w:pgSz w:w="11900" w:h="16840"/>
      <w:pgMar w:top="1276" w:right="1361" w:bottom="709"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9E" w:rsidRDefault="00475D9E" w:rsidP="00D67F85">
      <w:r>
        <w:separator/>
      </w:r>
    </w:p>
  </w:endnote>
  <w:endnote w:type="continuationSeparator" w:id="0">
    <w:p w:rsidR="00475D9E" w:rsidRDefault="00475D9E"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Pr="000F6882" w:rsidRDefault="00D23105" w:rsidP="00422B4C">
    <w:pPr>
      <w:pStyle w:val="Piedepgina"/>
      <w:spacing w:line="180" w:lineRule="exact"/>
      <w:rPr>
        <w:color w:val="17274B"/>
        <w:sz w:val="14"/>
        <w:szCs w:val="14"/>
      </w:rPr>
    </w:pPr>
    <w:r>
      <w:rPr>
        <w:color w:val="17274B"/>
        <w:sz w:val="14"/>
        <w:szCs w:val="14"/>
      </w:rPr>
      <w:fldChar w:fldCharType="begin"/>
    </w:r>
    <w:r>
      <w:rPr>
        <w:color w:val="17274B"/>
        <w:sz w:val="14"/>
        <w:szCs w:val="14"/>
      </w:rPr>
      <w:instrText>MACROBUTTON Remplir POSTAL ADDRESS</w:instrText>
    </w:r>
    <w:r>
      <w:rPr>
        <w:color w:val="17274B"/>
        <w:sz w:val="14"/>
        <w:szCs w:val="14"/>
      </w:rPr>
      <w:fldChar w:fldCharType="end"/>
    </w:r>
  </w:p>
  <w:p w:rsidR="00D23105" w:rsidRPr="00967383" w:rsidRDefault="00D23105" w:rsidP="00422B4C">
    <w:pPr>
      <w:pStyle w:val="Piedepgina"/>
      <w:spacing w:line="180" w:lineRule="exact"/>
      <w:rPr>
        <w:color w:val="17274B"/>
        <w:sz w:val="14"/>
        <w:szCs w:val="14"/>
        <w:lang w:val="fr-FR"/>
      </w:rPr>
    </w:pPr>
    <w:r w:rsidRPr="00967383">
      <w:rPr>
        <w:color w:val="17274B"/>
        <w:sz w:val="14"/>
        <w:lang w:val="fr-FR"/>
      </w:rPr>
      <w:t>12 COURS MICHELET - LA DÉFENSE 10 - 92800 PUTEAUX - FRANCE</w:t>
    </w:r>
  </w:p>
  <w:p w:rsidR="00D23105" w:rsidRPr="00967383" w:rsidRDefault="00D23105" w:rsidP="00422B4C">
    <w:pPr>
      <w:pStyle w:val="Piedepgina"/>
      <w:spacing w:line="180" w:lineRule="exact"/>
      <w:rPr>
        <w:color w:val="17274B"/>
        <w:sz w:val="14"/>
        <w:szCs w:val="14"/>
        <w:lang w:val="fr-FR"/>
      </w:rPr>
    </w:pPr>
    <w:r w:rsidRPr="00967383">
      <w:rPr>
        <w:color w:val="17274B"/>
        <w:sz w:val="14"/>
        <w:lang w:val="fr-FR"/>
      </w:rPr>
      <w:t xml:space="preserve">T. </w:t>
    </w:r>
    <w:r>
      <w:rPr>
        <w:color w:val="17274B"/>
        <w:sz w:val="14"/>
        <w:szCs w:val="14"/>
      </w:rPr>
      <w:fldChar w:fldCharType="begin"/>
    </w:r>
    <w:r w:rsidRPr="00967383">
      <w:rPr>
        <w:color w:val="17274B"/>
        <w:sz w:val="14"/>
        <w:szCs w:val="14"/>
        <w:lang w:val="fr-FR"/>
      </w:rPr>
      <w:instrText>MACROBUTTON Remplir +33 (0)1 00 00 00 00</w:instrText>
    </w:r>
    <w:r>
      <w:rPr>
        <w:color w:val="17274B"/>
        <w:sz w:val="14"/>
        <w:szCs w:val="14"/>
      </w:rPr>
      <w:fldChar w:fldCharType="end"/>
    </w:r>
    <w:r w:rsidRPr="00967383">
      <w:rPr>
        <w:color w:val="17274B"/>
        <w:sz w:val="14"/>
        <w:lang w:val="fr-FR"/>
      </w:rPr>
      <w:t xml:space="preserve">- M. </w:t>
    </w:r>
    <w:r>
      <w:rPr>
        <w:color w:val="17274B"/>
        <w:sz w:val="14"/>
        <w:szCs w:val="14"/>
      </w:rPr>
      <w:fldChar w:fldCharType="begin"/>
    </w:r>
    <w:r w:rsidRPr="00967383">
      <w:rPr>
        <w:color w:val="17274B"/>
        <w:sz w:val="14"/>
        <w:szCs w:val="14"/>
        <w:lang w:val="fr-FR"/>
      </w:rPr>
      <w:instrText>MACROBUTTON Remplir +33 (0)6 00 00 00 00</w:instrText>
    </w:r>
    <w:r>
      <w:rPr>
        <w:color w:val="17274B"/>
        <w:sz w:val="14"/>
        <w:szCs w:val="14"/>
      </w:rPr>
      <w:fldChar w:fldCharType="end"/>
    </w:r>
    <w:r w:rsidRPr="00967383">
      <w:rPr>
        <w:color w:val="17274B"/>
        <w:sz w:val="14"/>
        <w:lang w:val="fr-FR"/>
      </w:rPr>
      <w:t xml:space="preserve"> - F. </w:t>
    </w:r>
    <w:r>
      <w:rPr>
        <w:color w:val="17274B"/>
        <w:sz w:val="14"/>
        <w:szCs w:val="14"/>
      </w:rPr>
      <w:fldChar w:fldCharType="begin"/>
    </w:r>
    <w:r w:rsidRPr="00967383">
      <w:rPr>
        <w:color w:val="17274B"/>
        <w:sz w:val="14"/>
        <w:szCs w:val="14"/>
        <w:lang w:val="fr-FR"/>
      </w:rPr>
      <w:instrText>MACROBUTTON Remplir +33 (0)1 00 00 00 00</w:instrText>
    </w:r>
    <w:r>
      <w:rPr>
        <w:color w:val="17274B"/>
        <w:sz w:val="14"/>
        <w:szCs w:val="14"/>
      </w:rPr>
      <w:fldChar w:fldCharType="end"/>
    </w:r>
  </w:p>
  <w:p w:rsidR="00D23105" w:rsidRPr="00967383" w:rsidRDefault="00D23105" w:rsidP="00422B4C">
    <w:pPr>
      <w:pStyle w:val="Piedepgina"/>
      <w:spacing w:line="180" w:lineRule="exact"/>
      <w:rPr>
        <w:color w:val="17274B"/>
        <w:sz w:val="14"/>
        <w:szCs w:val="14"/>
        <w:lang w:val="fr-FR"/>
      </w:rPr>
    </w:pPr>
    <w:r w:rsidRPr="00967383">
      <w:rPr>
        <w:color w:val="17274B"/>
        <w:sz w:val="14"/>
        <w:lang w:val="fr-FR"/>
      </w:rPr>
      <w:t>www.coface.com</w:t>
    </w:r>
  </w:p>
  <w:p w:rsidR="00D23105" w:rsidRPr="00967383" w:rsidRDefault="00D23105" w:rsidP="00422B4C">
    <w:pPr>
      <w:pStyle w:val="Piedepgina"/>
      <w:spacing w:line="180" w:lineRule="exact"/>
      <w:rPr>
        <w:color w:val="17274B"/>
        <w:sz w:val="12"/>
        <w:szCs w:val="12"/>
        <w:lang w:val="fr-FR"/>
      </w:rPr>
    </w:pPr>
    <w:r w:rsidRPr="00967383">
      <w:rPr>
        <w:color w:val="17274B"/>
        <w:sz w:val="12"/>
        <w:lang w:val="fr-FR"/>
      </w:rPr>
      <w:t xml:space="preserve">COMPAGNIE FRANÇAISE D’ASSURANCE POUR LE COMMERCE EXTÉRIEUR </w:t>
    </w:r>
  </w:p>
  <w:p w:rsidR="00D23105" w:rsidRPr="00967383" w:rsidRDefault="00D23105" w:rsidP="000F6882">
    <w:pPr>
      <w:pStyle w:val="Piedepgina"/>
      <w:spacing w:line="180" w:lineRule="exact"/>
      <w:rPr>
        <w:color w:val="17274B"/>
        <w:sz w:val="12"/>
        <w:szCs w:val="12"/>
        <w:lang w:val="fr-FR"/>
      </w:rPr>
    </w:pPr>
    <w:r w:rsidRPr="00967383">
      <w:rPr>
        <w:color w:val="17274B"/>
        <w:sz w:val="12"/>
        <w:lang w:val="fr-FR"/>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9E" w:rsidRDefault="00475D9E" w:rsidP="00D67F85">
      <w:r>
        <w:separator/>
      </w:r>
    </w:p>
  </w:footnote>
  <w:footnote w:type="continuationSeparator" w:id="0">
    <w:p w:rsidR="00475D9E" w:rsidRDefault="00475D9E"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Default="00967383">
    <w:pPr>
      <w:pStyle w:val="Encabezado"/>
    </w:pPr>
    <w:r>
      <w:rPr>
        <w:noProof/>
        <w:lang w:val="es-AR" w:eastAsia="es-AR" w:bidi="ar-SA"/>
      </w:rPr>
      <mc:AlternateContent>
        <mc:Choice Requires="wps">
          <w:drawing>
            <wp:anchor distT="0" distB="0" distL="114935" distR="114935" simplePos="0" relativeHeight="251660800" behindDoc="1" locked="0" layoutInCell="1" allowOverlap="1" wp14:anchorId="7A416F42" wp14:editId="3B56353B">
              <wp:simplePos x="0" y="0"/>
              <wp:positionH relativeFrom="column">
                <wp:posOffset>-28575</wp:posOffset>
              </wp:positionH>
              <wp:positionV relativeFrom="page">
                <wp:posOffset>1551305</wp:posOffset>
              </wp:positionV>
              <wp:extent cx="5755005" cy="3302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383" w:rsidRDefault="00967383" w:rsidP="00967383">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25pt;margin-top:122.15pt;width:453.15pt;height: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A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" stroked="f">
              <v:fill opacity="0"/>
              <v:textbox inset="0,0,0,0">
                <w:txbxContent>
                  <w:p w:rsidR="00967383" w:rsidRDefault="00967383" w:rsidP="00967383">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txbxContent>
              </v:textbox>
              <w10:wrap anchory="page"/>
            </v:shape>
          </w:pict>
        </mc:Fallback>
      </mc:AlternateContent>
    </w:r>
    <w:r w:rsidR="00D23105">
      <w:rPr>
        <w:noProof/>
        <w:lang w:val="es-AR" w:eastAsia="es-AR" w:bidi="ar-SA"/>
      </w:rPr>
      <w:drawing>
        <wp:anchor distT="0" distB="0" distL="114300" distR="114300" simplePos="0" relativeHeight="251655680" behindDoc="1" locked="0" layoutInCell="1" allowOverlap="1" wp14:anchorId="7544F4D1" wp14:editId="7170F4B4">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D23105">
      <w:rPr>
        <w:noProof/>
        <w:lang w:val="es-AR" w:eastAsia="es-AR" w:bidi="ar-SA"/>
      </w:rPr>
      <mc:AlternateContent>
        <mc:Choice Requires="wps">
          <w:drawing>
            <wp:anchor distT="4294967291" distB="4294967291" distL="114300" distR="114300" simplePos="0" relativeHeight="251656704" behindDoc="0" locked="0" layoutInCell="1" allowOverlap="1" wp14:anchorId="1568841F" wp14:editId="65A14DEF">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Default="00D23105">
    <w:pPr>
      <w:pStyle w:val="Encabezado"/>
    </w:pPr>
    <w:r>
      <w:rPr>
        <w:noProof/>
        <w:lang w:val="es-AR" w:eastAsia="es-AR" w:bidi="ar-SA"/>
      </w:rPr>
      <w:drawing>
        <wp:anchor distT="0" distB="0" distL="114300" distR="114300" simplePos="0" relativeHeight="251658752" behindDoc="1" locked="0" layoutInCell="1" allowOverlap="1" wp14:anchorId="7837BE42" wp14:editId="0D8AF486">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bidi="ar-SA"/>
      </w:rPr>
      <mc:AlternateContent>
        <mc:Choice Requires="wps">
          <w:drawing>
            <wp:anchor distT="4294967291" distB="4294967291" distL="114300" distR="114300" simplePos="0" relativeHeight="251657728" behindDoc="0" locked="0" layoutInCell="1" allowOverlap="1" wp14:anchorId="26D3669D" wp14:editId="171455C7">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xmlns:w10="urn:schemas-microsoft-com:office:word"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9650BC"/>
    <w:multiLevelType w:val="hybridMultilevel"/>
    <w:tmpl w:val="F530E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A34490"/>
    <w:multiLevelType w:val="hybridMultilevel"/>
    <w:tmpl w:val="2766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7042C"/>
    <w:multiLevelType w:val="hybridMultilevel"/>
    <w:tmpl w:val="8186936C"/>
    <w:lvl w:ilvl="0" w:tplc="D2D4A60A">
      <w:start w:val="1"/>
      <w:numFmt w:val="bullet"/>
      <w:lvlText w:val=""/>
      <w:lvlJc w:val="left"/>
      <w:pPr>
        <w:ind w:left="780" w:hanging="360"/>
      </w:pPr>
      <w:rPr>
        <w:rFonts w:ascii="Symbol" w:hAnsi="Symbol" w:hint="default"/>
        <w:color w:val="57B57C"/>
        <w:u w:color="57B57C"/>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7">
    <w:nsid w:val="20F3511D"/>
    <w:multiLevelType w:val="hybridMultilevel"/>
    <w:tmpl w:val="2B441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A13424"/>
    <w:multiLevelType w:val="hybridMultilevel"/>
    <w:tmpl w:val="D0E8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9D1EAF"/>
    <w:multiLevelType w:val="hybridMultilevel"/>
    <w:tmpl w:val="8F460078"/>
    <w:lvl w:ilvl="0" w:tplc="C0284F1E">
      <w:numFmt w:val="bullet"/>
      <w:lvlText w:val="•"/>
      <w:lvlJc w:val="left"/>
      <w:pPr>
        <w:ind w:left="720" w:hanging="360"/>
      </w:pPr>
      <w:rPr>
        <w:rFonts w:ascii="Arial" w:eastAsia="MS Mincho" w:hAnsi="Arial" w:cs="Arial" w:hint="default"/>
        <w:color w:val="61B67C"/>
        <w:sz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1E48E6"/>
    <w:multiLevelType w:val="hybridMultilevel"/>
    <w:tmpl w:val="8294D3CE"/>
    <w:lvl w:ilvl="0" w:tplc="C0284F1E">
      <w:numFmt w:val="bullet"/>
      <w:lvlText w:val="•"/>
      <w:lvlJc w:val="left"/>
      <w:pPr>
        <w:ind w:left="720" w:hanging="360"/>
      </w:pPr>
      <w:rPr>
        <w:rFonts w:ascii="Arial" w:eastAsia="MS Mincho" w:hAnsi="Arial" w:cs="Arial" w:hint="default"/>
        <w:color w:val="61B67C"/>
        <w:sz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9BD3E5D"/>
    <w:multiLevelType w:val="hybridMultilevel"/>
    <w:tmpl w:val="4FFE1F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22E0E4F"/>
    <w:multiLevelType w:val="hybridMultilevel"/>
    <w:tmpl w:val="3EC8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B651BF"/>
    <w:multiLevelType w:val="hybridMultilevel"/>
    <w:tmpl w:val="A60CA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3C1CDF"/>
    <w:multiLevelType w:val="hybridMultilevel"/>
    <w:tmpl w:val="B672C5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4E6C2B"/>
    <w:multiLevelType w:val="hybridMultilevel"/>
    <w:tmpl w:val="D4067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A40E77"/>
    <w:multiLevelType w:val="hybridMultilevel"/>
    <w:tmpl w:val="E4565934"/>
    <w:lvl w:ilvl="0" w:tplc="EC006F80">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195497"/>
    <w:multiLevelType w:val="hybridMultilevel"/>
    <w:tmpl w:val="7450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5E0402"/>
    <w:multiLevelType w:val="hybridMultilevel"/>
    <w:tmpl w:val="E6EC8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527D55"/>
    <w:multiLevelType w:val="hybridMultilevel"/>
    <w:tmpl w:val="098A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791BAE"/>
    <w:multiLevelType w:val="hybridMultilevel"/>
    <w:tmpl w:val="0E42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CD064B"/>
    <w:multiLevelType w:val="hybridMultilevel"/>
    <w:tmpl w:val="4CFA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6"/>
  </w:num>
  <w:num w:numId="4">
    <w:abstractNumId w:val="0"/>
  </w:num>
  <w:num w:numId="5">
    <w:abstractNumId w:val="2"/>
  </w:num>
  <w:num w:numId="6">
    <w:abstractNumId w:val="20"/>
  </w:num>
  <w:num w:numId="7">
    <w:abstractNumId w:val="4"/>
  </w:num>
  <w:num w:numId="8">
    <w:abstractNumId w:val="10"/>
  </w:num>
  <w:num w:numId="9">
    <w:abstractNumId w:val="23"/>
  </w:num>
  <w:num w:numId="10">
    <w:abstractNumId w:val="5"/>
  </w:num>
  <w:num w:numId="11">
    <w:abstractNumId w:val="15"/>
  </w:num>
  <w:num w:numId="12">
    <w:abstractNumId w:val="13"/>
  </w:num>
  <w:num w:numId="13">
    <w:abstractNumId w:val="25"/>
  </w:num>
  <w:num w:numId="14">
    <w:abstractNumId w:val="14"/>
  </w:num>
  <w:num w:numId="15">
    <w:abstractNumId w:val="8"/>
  </w:num>
  <w:num w:numId="16">
    <w:abstractNumId w:val="18"/>
  </w:num>
  <w:num w:numId="17">
    <w:abstractNumId w:val="19"/>
  </w:num>
  <w:num w:numId="18">
    <w:abstractNumId w:val="7"/>
  </w:num>
  <w:num w:numId="19">
    <w:abstractNumId w:val="3"/>
  </w:num>
  <w:num w:numId="20">
    <w:abstractNumId w:val="21"/>
  </w:num>
  <w:num w:numId="21">
    <w:abstractNumId w:val="24"/>
  </w:num>
  <w:num w:numId="22">
    <w:abstractNumId w:val="17"/>
  </w:num>
  <w:num w:numId="23">
    <w:abstractNumId w:val="26"/>
  </w:num>
  <w:num w:numId="24">
    <w:abstractNumId w:val="12"/>
  </w:num>
  <w:num w:numId="25">
    <w:abstractNumId w:val="11"/>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034C3"/>
    <w:rsid w:val="000101EA"/>
    <w:rsid w:val="00013334"/>
    <w:rsid w:val="00017B88"/>
    <w:rsid w:val="00025611"/>
    <w:rsid w:val="0002713B"/>
    <w:rsid w:val="0003284F"/>
    <w:rsid w:val="000344E5"/>
    <w:rsid w:val="000353A3"/>
    <w:rsid w:val="0003740B"/>
    <w:rsid w:val="00045FF0"/>
    <w:rsid w:val="00050C5C"/>
    <w:rsid w:val="00054F1F"/>
    <w:rsid w:val="00056BB1"/>
    <w:rsid w:val="0006213D"/>
    <w:rsid w:val="00063BC2"/>
    <w:rsid w:val="00064390"/>
    <w:rsid w:val="00064ECD"/>
    <w:rsid w:val="0007384D"/>
    <w:rsid w:val="00075009"/>
    <w:rsid w:val="00076FC3"/>
    <w:rsid w:val="00077616"/>
    <w:rsid w:val="00082804"/>
    <w:rsid w:val="00087C6C"/>
    <w:rsid w:val="00090345"/>
    <w:rsid w:val="000906C2"/>
    <w:rsid w:val="00095FA3"/>
    <w:rsid w:val="00097A40"/>
    <w:rsid w:val="000B396C"/>
    <w:rsid w:val="000B75F4"/>
    <w:rsid w:val="000C1632"/>
    <w:rsid w:val="000C2F79"/>
    <w:rsid w:val="000C4D45"/>
    <w:rsid w:val="000C57F3"/>
    <w:rsid w:val="000C6AB1"/>
    <w:rsid w:val="000D3989"/>
    <w:rsid w:val="000E0E01"/>
    <w:rsid w:val="000E26C3"/>
    <w:rsid w:val="000E4B6F"/>
    <w:rsid w:val="000E62D7"/>
    <w:rsid w:val="000E7874"/>
    <w:rsid w:val="000F27A4"/>
    <w:rsid w:val="000F6882"/>
    <w:rsid w:val="00101011"/>
    <w:rsid w:val="001021B9"/>
    <w:rsid w:val="0010376C"/>
    <w:rsid w:val="00103BF5"/>
    <w:rsid w:val="00104F03"/>
    <w:rsid w:val="00111F9A"/>
    <w:rsid w:val="001133B7"/>
    <w:rsid w:val="00113B9E"/>
    <w:rsid w:val="00117E8C"/>
    <w:rsid w:val="00121FCB"/>
    <w:rsid w:val="00124007"/>
    <w:rsid w:val="00133B09"/>
    <w:rsid w:val="00133E03"/>
    <w:rsid w:val="00133F3E"/>
    <w:rsid w:val="0013571A"/>
    <w:rsid w:val="00135E9D"/>
    <w:rsid w:val="00137429"/>
    <w:rsid w:val="001420DE"/>
    <w:rsid w:val="00147F22"/>
    <w:rsid w:val="00150A9B"/>
    <w:rsid w:val="0015140F"/>
    <w:rsid w:val="00151978"/>
    <w:rsid w:val="001565B7"/>
    <w:rsid w:val="00156D92"/>
    <w:rsid w:val="001572CC"/>
    <w:rsid w:val="0017295A"/>
    <w:rsid w:val="00172DCB"/>
    <w:rsid w:val="00174F2A"/>
    <w:rsid w:val="00180297"/>
    <w:rsid w:val="00180E1F"/>
    <w:rsid w:val="0018204C"/>
    <w:rsid w:val="00182124"/>
    <w:rsid w:val="0018227C"/>
    <w:rsid w:val="00182858"/>
    <w:rsid w:val="001864A9"/>
    <w:rsid w:val="00187343"/>
    <w:rsid w:val="00187D05"/>
    <w:rsid w:val="00191B9A"/>
    <w:rsid w:val="00192359"/>
    <w:rsid w:val="0019411B"/>
    <w:rsid w:val="00195287"/>
    <w:rsid w:val="00196C38"/>
    <w:rsid w:val="001979C7"/>
    <w:rsid w:val="001A08E0"/>
    <w:rsid w:val="001A21B7"/>
    <w:rsid w:val="001A2BEC"/>
    <w:rsid w:val="001A4089"/>
    <w:rsid w:val="001A6D63"/>
    <w:rsid w:val="001B1DD7"/>
    <w:rsid w:val="001B3C84"/>
    <w:rsid w:val="001B426A"/>
    <w:rsid w:val="001C2347"/>
    <w:rsid w:val="001C3BF7"/>
    <w:rsid w:val="001C5A60"/>
    <w:rsid w:val="001C762F"/>
    <w:rsid w:val="001D331B"/>
    <w:rsid w:val="001D351E"/>
    <w:rsid w:val="001D4ECF"/>
    <w:rsid w:val="001D6683"/>
    <w:rsid w:val="001D7347"/>
    <w:rsid w:val="001E07C0"/>
    <w:rsid w:val="001E0FBF"/>
    <w:rsid w:val="001E3418"/>
    <w:rsid w:val="001E35DD"/>
    <w:rsid w:val="001E50BE"/>
    <w:rsid w:val="001F1CA0"/>
    <w:rsid w:val="001F1FD4"/>
    <w:rsid w:val="001F2E8E"/>
    <w:rsid w:val="001F3DAF"/>
    <w:rsid w:val="001F43A0"/>
    <w:rsid w:val="00202FD8"/>
    <w:rsid w:val="00203343"/>
    <w:rsid w:val="002064FA"/>
    <w:rsid w:val="0021090E"/>
    <w:rsid w:val="00213B3D"/>
    <w:rsid w:val="0021602A"/>
    <w:rsid w:val="00217DF6"/>
    <w:rsid w:val="002202C8"/>
    <w:rsid w:val="00221F23"/>
    <w:rsid w:val="00222EF9"/>
    <w:rsid w:val="0022328E"/>
    <w:rsid w:val="00224DE9"/>
    <w:rsid w:val="002252DD"/>
    <w:rsid w:val="00226DB9"/>
    <w:rsid w:val="0022744E"/>
    <w:rsid w:val="00231BBF"/>
    <w:rsid w:val="00234A18"/>
    <w:rsid w:val="00235980"/>
    <w:rsid w:val="002363B8"/>
    <w:rsid w:val="002372F0"/>
    <w:rsid w:val="00240107"/>
    <w:rsid w:val="00250823"/>
    <w:rsid w:val="0025430A"/>
    <w:rsid w:val="00255C1E"/>
    <w:rsid w:val="00257BF5"/>
    <w:rsid w:val="00257F44"/>
    <w:rsid w:val="0026145F"/>
    <w:rsid w:val="00263B97"/>
    <w:rsid w:val="00264A05"/>
    <w:rsid w:val="00273671"/>
    <w:rsid w:val="00274997"/>
    <w:rsid w:val="0027563A"/>
    <w:rsid w:val="00277B1F"/>
    <w:rsid w:val="00280AA4"/>
    <w:rsid w:val="002818E7"/>
    <w:rsid w:val="00284087"/>
    <w:rsid w:val="0028559D"/>
    <w:rsid w:val="00285CFC"/>
    <w:rsid w:val="002909F2"/>
    <w:rsid w:val="00292ECB"/>
    <w:rsid w:val="00294F29"/>
    <w:rsid w:val="002962F5"/>
    <w:rsid w:val="00296D1B"/>
    <w:rsid w:val="00297F95"/>
    <w:rsid w:val="002A3321"/>
    <w:rsid w:val="002A4901"/>
    <w:rsid w:val="002A5011"/>
    <w:rsid w:val="002B06FB"/>
    <w:rsid w:val="002B1C54"/>
    <w:rsid w:val="002B1E5E"/>
    <w:rsid w:val="002B49D3"/>
    <w:rsid w:val="002C0498"/>
    <w:rsid w:val="002C498D"/>
    <w:rsid w:val="002C6A74"/>
    <w:rsid w:val="002D040D"/>
    <w:rsid w:val="002E02B9"/>
    <w:rsid w:val="002E4A49"/>
    <w:rsid w:val="002F2911"/>
    <w:rsid w:val="002F3ED8"/>
    <w:rsid w:val="002F7042"/>
    <w:rsid w:val="00300E90"/>
    <w:rsid w:val="00310949"/>
    <w:rsid w:val="00310E9B"/>
    <w:rsid w:val="003110DB"/>
    <w:rsid w:val="0031235B"/>
    <w:rsid w:val="00313F3F"/>
    <w:rsid w:val="0032171C"/>
    <w:rsid w:val="00324BB7"/>
    <w:rsid w:val="0032531A"/>
    <w:rsid w:val="00327553"/>
    <w:rsid w:val="003277EC"/>
    <w:rsid w:val="00330137"/>
    <w:rsid w:val="00330DDA"/>
    <w:rsid w:val="00331A0F"/>
    <w:rsid w:val="00333E2F"/>
    <w:rsid w:val="003425FF"/>
    <w:rsid w:val="003427A1"/>
    <w:rsid w:val="0034462F"/>
    <w:rsid w:val="003454AF"/>
    <w:rsid w:val="00350251"/>
    <w:rsid w:val="0035155C"/>
    <w:rsid w:val="00353338"/>
    <w:rsid w:val="003550B2"/>
    <w:rsid w:val="00356BC3"/>
    <w:rsid w:val="00361D42"/>
    <w:rsid w:val="00362371"/>
    <w:rsid w:val="00362444"/>
    <w:rsid w:val="00363936"/>
    <w:rsid w:val="0036791A"/>
    <w:rsid w:val="00371EEA"/>
    <w:rsid w:val="003730CD"/>
    <w:rsid w:val="0037625B"/>
    <w:rsid w:val="00377657"/>
    <w:rsid w:val="00382DAC"/>
    <w:rsid w:val="003851D6"/>
    <w:rsid w:val="00386F17"/>
    <w:rsid w:val="00387047"/>
    <w:rsid w:val="00387CE5"/>
    <w:rsid w:val="00387F40"/>
    <w:rsid w:val="003918AE"/>
    <w:rsid w:val="00397038"/>
    <w:rsid w:val="00397609"/>
    <w:rsid w:val="003A3DB3"/>
    <w:rsid w:val="003A48E7"/>
    <w:rsid w:val="003A68AF"/>
    <w:rsid w:val="003A7137"/>
    <w:rsid w:val="003B0801"/>
    <w:rsid w:val="003B6138"/>
    <w:rsid w:val="003D13C5"/>
    <w:rsid w:val="003D42BB"/>
    <w:rsid w:val="003E25EE"/>
    <w:rsid w:val="003E2B37"/>
    <w:rsid w:val="003F01F9"/>
    <w:rsid w:val="003F0455"/>
    <w:rsid w:val="003F0D4C"/>
    <w:rsid w:val="003F329F"/>
    <w:rsid w:val="003F3390"/>
    <w:rsid w:val="003F355E"/>
    <w:rsid w:val="003F5581"/>
    <w:rsid w:val="003F575B"/>
    <w:rsid w:val="003F794E"/>
    <w:rsid w:val="0040012F"/>
    <w:rsid w:val="00404DAD"/>
    <w:rsid w:val="0040565F"/>
    <w:rsid w:val="00407712"/>
    <w:rsid w:val="00411774"/>
    <w:rsid w:val="00411A9A"/>
    <w:rsid w:val="00412B87"/>
    <w:rsid w:val="00414AFC"/>
    <w:rsid w:val="004151A6"/>
    <w:rsid w:val="0041545A"/>
    <w:rsid w:val="004162D0"/>
    <w:rsid w:val="004176C9"/>
    <w:rsid w:val="00422B4C"/>
    <w:rsid w:val="0042492B"/>
    <w:rsid w:val="004269DC"/>
    <w:rsid w:val="0043663B"/>
    <w:rsid w:val="00436791"/>
    <w:rsid w:val="00436B1F"/>
    <w:rsid w:val="00443C38"/>
    <w:rsid w:val="00447C2D"/>
    <w:rsid w:val="004534CC"/>
    <w:rsid w:val="00454322"/>
    <w:rsid w:val="00461B22"/>
    <w:rsid w:val="00466953"/>
    <w:rsid w:val="0047151E"/>
    <w:rsid w:val="00472216"/>
    <w:rsid w:val="00474894"/>
    <w:rsid w:val="00475D9E"/>
    <w:rsid w:val="004763FC"/>
    <w:rsid w:val="00480A1B"/>
    <w:rsid w:val="00480BBF"/>
    <w:rsid w:val="00483B74"/>
    <w:rsid w:val="00485C23"/>
    <w:rsid w:val="004865FF"/>
    <w:rsid w:val="00487C65"/>
    <w:rsid w:val="004929A7"/>
    <w:rsid w:val="0049560A"/>
    <w:rsid w:val="00495FBC"/>
    <w:rsid w:val="004970BD"/>
    <w:rsid w:val="004A044F"/>
    <w:rsid w:val="004A3DE0"/>
    <w:rsid w:val="004A4404"/>
    <w:rsid w:val="004A4DA6"/>
    <w:rsid w:val="004A4F9C"/>
    <w:rsid w:val="004A7D4A"/>
    <w:rsid w:val="004C0D08"/>
    <w:rsid w:val="004C1B55"/>
    <w:rsid w:val="004C1ED5"/>
    <w:rsid w:val="004C2B7C"/>
    <w:rsid w:val="004C38D7"/>
    <w:rsid w:val="004C4A32"/>
    <w:rsid w:val="004C6013"/>
    <w:rsid w:val="004C78E6"/>
    <w:rsid w:val="004D1F3B"/>
    <w:rsid w:val="004D53E1"/>
    <w:rsid w:val="004D5481"/>
    <w:rsid w:val="004D5801"/>
    <w:rsid w:val="004D6E0E"/>
    <w:rsid w:val="004D6F55"/>
    <w:rsid w:val="004D76E5"/>
    <w:rsid w:val="004E0DFD"/>
    <w:rsid w:val="004E5167"/>
    <w:rsid w:val="004E660A"/>
    <w:rsid w:val="004E6BFD"/>
    <w:rsid w:val="004E6F8C"/>
    <w:rsid w:val="004E779A"/>
    <w:rsid w:val="004F0F82"/>
    <w:rsid w:val="004F2C43"/>
    <w:rsid w:val="004F32D8"/>
    <w:rsid w:val="004F35B8"/>
    <w:rsid w:val="004F47A7"/>
    <w:rsid w:val="005035C6"/>
    <w:rsid w:val="005049FC"/>
    <w:rsid w:val="00511C3B"/>
    <w:rsid w:val="00512136"/>
    <w:rsid w:val="0051354B"/>
    <w:rsid w:val="00516085"/>
    <w:rsid w:val="00516C8A"/>
    <w:rsid w:val="00527BC6"/>
    <w:rsid w:val="00527EE7"/>
    <w:rsid w:val="005310CD"/>
    <w:rsid w:val="00533334"/>
    <w:rsid w:val="00533AAE"/>
    <w:rsid w:val="005374FF"/>
    <w:rsid w:val="00537F92"/>
    <w:rsid w:val="00540112"/>
    <w:rsid w:val="00541338"/>
    <w:rsid w:val="005428C9"/>
    <w:rsid w:val="00544938"/>
    <w:rsid w:val="00544DCD"/>
    <w:rsid w:val="00546DE5"/>
    <w:rsid w:val="00547B17"/>
    <w:rsid w:val="00550908"/>
    <w:rsid w:val="005559A0"/>
    <w:rsid w:val="00557EB2"/>
    <w:rsid w:val="00561158"/>
    <w:rsid w:val="00561CDE"/>
    <w:rsid w:val="005679D5"/>
    <w:rsid w:val="005713E7"/>
    <w:rsid w:val="0057297B"/>
    <w:rsid w:val="00577863"/>
    <w:rsid w:val="0058456E"/>
    <w:rsid w:val="00584AF4"/>
    <w:rsid w:val="00584D00"/>
    <w:rsid w:val="0058768F"/>
    <w:rsid w:val="00587A6B"/>
    <w:rsid w:val="005921A7"/>
    <w:rsid w:val="00592771"/>
    <w:rsid w:val="005A1A8C"/>
    <w:rsid w:val="005A56C8"/>
    <w:rsid w:val="005A5FE4"/>
    <w:rsid w:val="005A7528"/>
    <w:rsid w:val="005A7F8E"/>
    <w:rsid w:val="005B0096"/>
    <w:rsid w:val="005B03BA"/>
    <w:rsid w:val="005B2871"/>
    <w:rsid w:val="005B2904"/>
    <w:rsid w:val="005B2989"/>
    <w:rsid w:val="005B4751"/>
    <w:rsid w:val="005B5F32"/>
    <w:rsid w:val="005C3E71"/>
    <w:rsid w:val="005C4C37"/>
    <w:rsid w:val="005C679A"/>
    <w:rsid w:val="005C6CCD"/>
    <w:rsid w:val="005D35AF"/>
    <w:rsid w:val="005D59B4"/>
    <w:rsid w:val="005E220B"/>
    <w:rsid w:val="005E528D"/>
    <w:rsid w:val="005F0D7A"/>
    <w:rsid w:val="005F2728"/>
    <w:rsid w:val="005F3EDF"/>
    <w:rsid w:val="005F6B24"/>
    <w:rsid w:val="006000A3"/>
    <w:rsid w:val="006001CB"/>
    <w:rsid w:val="006048B4"/>
    <w:rsid w:val="00605FB5"/>
    <w:rsid w:val="00614408"/>
    <w:rsid w:val="00614F66"/>
    <w:rsid w:val="00615462"/>
    <w:rsid w:val="00616939"/>
    <w:rsid w:val="00617F8A"/>
    <w:rsid w:val="006208A3"/>
    <w:rsid w:val="006233D4"/>
    <w:rsid w:val="00623495"/>
    <w:rsid w:val="00624CB9"/>
    <w:rsid w:val="006353C5"/>
    <w:rsid w:val="006363A6"/>
    <w:rsid w:val="006428DD"/>
    <w:rsid w:val="0064454D"/>
    <w:rsid w:val="006462CB"/>
    <w:rsid w:val="0065012F"/>
    <w:rsid w:val="00653986"/>
    <w:rsid w:val="00654070"/>
    <w:rsid w:val="0065466E"/>
    <w:rsid w:val="00654E7B"/>
    <w:rsid w:val="00671B3A"/>
    <w:rsid w:val="0067642B"/>
    <w:rsid w:val="006809B6"/>
    <w:rsid w:val="00682090"/>
    <w:rsid w:val="00682473"/>
    <w:rsid w:val="00682CB7"/>
    <w:rsid w:val="006835FD"/>
    <w:rsid w:val="00685E67"/>
    <w:rsid w:val="0069348C"/>
    <w:rsid w:val="00695058"/>
    <w:rsid w:val="006974DB"/>
    <w:rsid w:val="00697799"/>
    <w:rsid w:val="006979DF"/>
    <w:rsid w:val="006A1C56"/>
    <w:rsid w:val="006A2FCC"/>
    <w:rsid w:val="006A7576"/>
    <w:rsid w:val="006B1261"/>
    <w:rsid w:val="006B13A7"/>
    <w:rsid w:val="006B2D6B"/>
    <w:rsid w:val="006B2DFB"/>
    <w:rsid w:val="006B3F86"/>
    <w:rsid w:val="006B460F"/>
    <w:rsid w:val="006B547C"/>
    <w:rsid w:val="006B68E1"/>
    <w:rsid w:val="006B6AD4"/>
    <w:rsid w:val="006B6F45"/>
    <w:rsid w:val="006C166B"/>
    <w:rsid w:val="006C4B9C"/>
    <w:rsid w:val="006C560D"/>
    <w:rsid w:val="006C7AD3"/>
    <w:rsid w:val="006C7C49"/>
    <w:rsid w:val="006D6776"/>
    <w:rsid w:val="006D730F"/>
    <w:rsid w:val="006D7B4A"/>
    <w:rsid w:val="006E0300"/>
    <w:rsid w:val="006E4DA8"/>
    <w:rsid w:val="006E5747"/>
    <w:rsid w:val="006E5807"/>
    <w:rsid w:val="006E5B28"/>
    <w:rsid w:val="006F3056"/>
    <w:rsid w:val="006F7308"/>
    <w:rsid w:val="0070077B"/>
    <w:rsid w:val="007021B5"/>
    <w:rsid w:val="007023D3"/>
    <w:rsid w:val="0070376A"/>
    <w:rsid w:val="00704407"/>
    <w:rsid w:val="007161FA"/>
    <w:rsid w:val="00717D7A"/>
    <w:rsid w:val="00723270"/>
    <w:rsid w:val="00723574"/>
    <w:rsid w:val="007258A5"/>
    <w:rsid w:val="00725930"/>
    <w:rsid w:val="00725DFD"/>
    <w:rsid w:val="00726B9B"/>
    <w:rsid w:val="00730A1D"/>
    <w:rsid w:val="00737781"/>
    <w:rsid w:val="00741AF3"/>
    <w:rsid w:val="0074515A"/>
    <w:rsid w:val="0074555A"/>
    <w:rsid w:val="0075193A"/>
    <w:rsid w:val="007536FF"/>
    <w:rsid w:val="00755703"/>
    <w:rsid w:val="00755B46"/>
    <w:rsid w:val="00760714"/>
    <w:rsid w:val="00760E09"/>
    <w:rsid w:val="007611E2"/>
    <w:rsid w:val="007626F3"/>
    <w:rsid w:val="00765692"/>
    <w:rsid w:val="007717E8"/>
    <w:rsid w:val="00772DFF"/>
    <w:rsid w:val="00781778"/>
    <w:rsid w:val="00792FE5"/>
    <w:rsid w:val="00793A9A"/>
    <w:rsid w:val="007977AF"/>
    <w:rsid w:val="007A130C"/>
    <w:rsid w:val="007A520A"/>
    <w:rsid w:val="007A603D"/>
    <w:rsid w:val="007A7629"/>
    <w:rsid w:val="007A7B77"/>
    <w:rsid w:val="007B22D3"/>
    <w:rsid w:val="007B23DC"/>
    <w:rsid w:val="007B2EE5"/>
    <w:rsid w:val="007B4B56"/>
    <w:rsid w:val="007B65DD"/>
    <w:rsid w:val="007B748A"/>
    <w:rsid w:val="007C06A3"/>
    <w:rsid w:val="007C131C"/>
    <w:rsid w:val="007C1334"/>
    <w:rsid w:val="007C21A2"/>
    <w:rsid w:val="007C4514"/>
    <w:rsid w:val="007C4C65"/>
    <w:rsid w:val="007C54BE"/>
    <w:rsid w:val="007C5CB5"/>
    <w:rsid w:val="007E13C5"/>
    <w:rsid w:val="007E6346"/>
    <w:rsid w:val="007E6978"/>
    <w:rsid w:val="007F157D"/>
    <w:rsid w:val="007F270D"/>
    <w:rsid w:val="007F3E1F"/>
    <w:rsid w:val="00800E9A"/>
    <w:rsid w:val="008020A7"/>
    <w:rsid w:val="0080302D"/>
    <w:rsid w:val="00803D69"/>
    <w:rsid w:val="008048F7"/>
    <w:rsid w:val="008056C0"/>
    <w:rsid w:val="00805B5A"/>
    <w:rsid w:val="00811E06"/>
    <w:rsid w:val="008131D2"/>
    <w:rsid w:val="0082026F"/>
    <w:rsid w:val="00821FD8"/>
    <w:rsid w:val="00822B61"/>
    <w:rsid w:val="008240CA"/>
    <w:rsid w:val="008269D2"/>
    <w:rsid w:val="00827E4A"/>
    <w:rsid w:val="008334CC"/>
    <w:rsid w:val="00837458"/>
    <w:rsid w:val="00845004"/>
    <w:rsid w:val="008473D9"/>
    <w:rsid w:val="00847498"/>
    <w:rsid w:val="0085131C"/>
    <w:rsid w:val="0085158C"/>
    <w:rsid w:val="00852004"/>
    <w:rsid w:val="00854A65"/>
    <w:rsid w:val="00860D1F"/>
    <w:rsid w:val="008637D4"/>
    <w:rsid w:val="00867FCD"/>
    <w:rsid w:val="00870297"/>
    <w:rsid w:val="008705DE"/>
    <w:rsid w:val="0087456A"/>
    <w:rsid w:val="00874A77"/>
    <w:rsid w:val="0088016D"/>
    <w:rsid w:val="008927FA"/>
    <w:rsid w:val="00892CEB"/>
    <w:rsid w:val="00895313"/>
    <w:rsid w:val="008959AC"/>
    <w:rsid w:val="008A1C7F"/>
    <w:rsid w:val="008A679F"/>
    <w:rsid w:val="008A6D1E"/>
    <w:rsid w:val="008B43E2"/>
    <w:rsid w:val="008B44F0"/>
    <w:rsid w:val="008B51D7"/>
    <w:rsid w:val="008C64C4"/>
    <w:rsid w:val="008D0C91"/>
    <w:rsid w:val="008D31B1"/>
    <w:rsid w:val="008D32E9"/>
    <w:rsid w:val="008D5119"/>
    <w:rsid w:val="008E0823"/>
    <w:rsid w:val="008E2707"/>
    <w:rsid w:val="008E3C27"/>
    <w:rsid w:val="008E6AC6"/>
    <w:rsid w:val="008F00BB"/>
    <w:rsid w:val="008F14C7"/>
    <w:rsid w:val="008F17F8"/>
    <w:rsid w:val="008F6F05"/>
    <w:rsid w:val="008F7408"/>
    <w:rsid w:val="0090237D"/>
    <w:rsid w:val="00903929"/>
    <w:rsid w:val="00904E6E"/>
    <w:rsid w:val="0090608A"/>
    <w:rsid w:val="00910521"/>
    <w:rsid w:val="00910870"/>
    <w:rsid w:val="00912E4B"/>
    <w:rsid w:val="009152C8"/>
    <w:rsid w:val="0091642E"/>
    <w:rsid w:val="00931E47"/>
    <w:rsid w:val="0093674C"/>
    <w:rsid w:val="00936DD9"/>
    <w:rsid w:val="00943558"/>
    <w:rsid w:val="009443E2"/>
    <w:rsid w:val="009459AD"/>
    <w:rsid w:val="009519A6"/>
    <w:rsid w:val="0095321A"/>
    <w:rsid w:val="00953A23"/>
    <w:rsid w:val="009560A9"/>
    <w:rsid w:val="00956312"/>
    <w:rsid w:val="009601DF"/>
    <w:rsid w:val="0096032E"/>
    <w:rsid w:val="00963DEC"/>
    <w:rsid w:val="00967383"/>
    <w:rsid w:val="009673DD"/>
    <w:rsid w:val="00967A21"/>
    <w:rsid w:val="00971057"/>
    <w:rsid w:val="00975306"/>
    <w:rsid w:val="0097675B"/>
    <w:rsid w:val="00977B2E"/>
    <w:rsid w:val="009879E2"/>
    <w:rsid w:val="00990114"/>
    <w:rsid w:val="00996DD2"/>
    <w:rsid w:val="009A0080"/>
    <w:rsid w:val="009A044D"/>
    <w:rsid w:val="009A1265"/>
    <w:rsid w:val="009A159B"/>
    <w:rsid w:val="009A2BF3"/>
    <w:rsid w:val="009A30BB"/>
    <w:rsid w:val="009A400F"/>
    <w:rsid w:val="009A4ED6"/>
    <w:rsid w:val="009A5A7E"/>
    <w:rsid w:val="009A6216"/>
    <w:rsid w:val="009A69F0"/>
    <w:rsid w:val="009A7765"/>
    <w:rsid w:val="009B02D4"/>
    <w:rsid w:val="009B2BE3"/>
    <w:rsid w:val="009B7546"/>
    <w:rsid w:val="009C50CE"/>
    <w:rsid w:val="009D1A47"/>
    <w:rsid w:val="009D1D3A"/>
    <w:rsid w:val="009D3AFB"/>
    <w:rsid w:val="009E41B8"/>
    <w:rsid w:val="009E528D"/>
    <w:rsid w:val="009E70F4"/>
    <w:rsid w:val="009F1222"/>
    <w:rsid w:val="00A00A37"/>
    <w:rsid w:val="00A0274F"/>
    <w:rsid w:val="00A02B2B"/>
    <w:rsid w:val="00A11C22"/>
    <w:rsid w:val="00A1494F"/>
    <w:rsid w:val="00A1765F"/>
    <w:rsid w:val="00A24C76"/>
    <w:rsid w:val="00A25EF9"/>
    <w:rsid w:val="00A30EEB"/>
    <w:rsid w:val="00A31DDA"/>
    <w:rsid w:val="00A31F26"/>
    <w:rsid w:val="00A33542"/>
    <w:rsid w:val="00A36900"/>
    <w:rsid w:val="00A37503"/>
    <w:rsid w:val="00A40CBB"/>
    <w:rsid w:val="00A46624"/>
    <w:rsid w:val="00A50C2C"/>
    <w:rsid w:val="00A56513"/>
    <w:rsid w:val="00A6768C"/>
    <w:rsid w:val="00A70D53"/>
    <w:rsid w:val="00A72AA1"/>
    <w:rsid w:val="00A73DAB"/>
    <w:rsid w:val="00A74892"/>
    <w:rsid w:val="00A75AD9"/>
    <w:rsid w:val="00A76E77"/>
    <w:rsid w:val="00A81313"/>
    <w:rsid w:val="00A81A7C"/>
    <w:rsid w:val="00A82D1D"/>
    <w:rsid w:val="00A8748B"/>
    <w:rsid w:val="00A876FD"/>
    <w:rsid w:val="00AA5518"/>
    <w:rsid w:val="00AB3A55"/>
    <w:rsid w:val="00AB40B1"/>
    <w:rsid w:val="00AB4335"/>
    <w:rsid w:val="00AB4CB8"/>
    <w:rsid w:val="00AC0F47"/>
    <w:rsid w:val="00AC4CA2"/>
    <w:rsid w:val="00AC598B"/>
    <w:rsid w:val="00AC7017"/>
    <w:rsid w:val="00AC7153"/>
    <w:rsid w:val="00AC7177"/>
    <w:rsid w:val="00AC74BA"/>
    <w:rsid w:val="00AD1DFC"/>
    <w:rsid w:val="00AD25D2"/>
    <w:rsid w:val="00AD26BD"/>
    <w:rsid w:val="00AD374B"/>
    <w:rsid w:val="00AD5228"/>
    <w:rsid w:val="00AD6717"/>
    <w:rsid w:val="00AE2361"/>
    <w:rsid w:val="00AE41F2"/>
    <w:rsid w:val="00AE77A8"/>
    <w:rsid w:val="00AF1C41"/>
    <w:rsid w:val="00AF2D0D"/>
    <w:rsid w:val="00AF303E"/>
    <w:rsid w:val="00AF320E"/>
    <w:rsid w:val="00AF6306"/>
    <w:rsid w:val="00B00B9F"/>
    <w:rsid w:val="00B01627"/>
    <w:rsid w:val="00B04352"/>
    <w:rsid w:val="00B05E53"/>
    <w:rsid w:val="00B062FD"/>
    <w:rsid w:val="00B0635C"/>
    <w:rsid w:val="00B12298"/>
    <w:rsid w:val="00B1293C"/>
    <w:rsid w:val="00B24605"/>
    <w:rsid w:val="00B2565A"/>
    <w:rsid w:val="00B30540"/>
    <w:rsid w:val="00B30895"/>
    <w:rsid w:val="00B34012"/>
    <w:rsid w:val="00B34448"/>
    <w:rsid w:val="00B355A1"/>
    <w:rsid w:val="00B400EE"/>
    <w:rsid w:val="00B44AAD"/>
    <w:rsid w:val="00B44ECE"/>
    <w:rsid w:val="00B472E4"/>
    <w:rsid w:val="00B50502"/>
    <w:rsid w:val="00B53276"/>
    <w:rsid w:val="00B555C3"/>
    <w:rsid w:val="00B56FB3"/>
    <w:rsid w:val="00B64B26"/>
    <w:rsid w:val="00B652AE"/>
    <w:rsid w:val="00B67BCD"/>
    <w:rsid w:val="00B7125A"/>
    <w:rsid w:val="00B71D08"/>
    <w:rsid w:val="00B72380"/>
    <w:rsid w:val="00B73D93"/>
    <w:rsid w:val="00B7596C"/>
    <w:rsid w:val="00B75A40"/>
    <w:rsid w:val="00B7777D"/>
    <w:rsid w:val="00B77AB2"/>
    <w:rsid w:val="00B81D39"/>
    <w:rsid w:val="00B83BA7"/>
    <w:rsid w:val="00B84507"/>
    <w:rsid w:val="00B84D19"/>
    <w:rsid w:val="00B84DB3"/>
    <w:rsid w:val="00B90C1C"/>
    <w:rsid w:val="00B95365"/>
    <w:rsid w:val="00B957EE"/>
    <w:rsid w:val="00BA207A"/>
    <w:rsid w:val="00BA24C2"/>
    <w:rsid w:val="00BA3B3A"/>
    <w:rsid w:val="00BA408F"/>
    <w:rsid w:val="00BA44EC"/>
    <w:rsid w:val="00BA51E6"/>
    <w:rsid w:val="00BB2CC9"/>
    <w:rsid w:val="00BB366D"/>
    <w:rsid w:val="00BB4BB4"/>
    <w:rsid w:val="00BB68FE"/>
    <w:rsid w:val="00BC0FB9"/>
    <w:rsid w:val="00BC44E6"/>
    <w:rsid w:val="00BC4E3D"/>
    <w:rsid w:val="00BC551A"/>
    <w:rsid w:val="00BC5637"/>
    <w:rsid w:val="00BD1E65"/>
    <w:rsid w:val="00BD2CA4"/>
    <w:rsid w:val="00BD5ED4"/>
    <w:rsid w:val="00BD6483"/>
    <w:rsid w:val="00BE0313"/>
    <w:rsid w:val="00BE1E98"/>
    <w:rsid w:val="00BE36E2"/>
    <w:rsid w:val="00BE655E"/>
    <w:rsid w:val="00BF2A35"/>
    <w:rsid w:val="00BF32AB"/>
    <w:rsid w:val="00BF4394"/>
    <w:rsid w:val="00BF55E3"/>
    <w:rsid w:val="00BF5F6B"/>
    <w:rsid w:val="00BF6EF9"/>
    <w:rsid w:val="00C03E36"/>
    <w:rsid w:val="00C04602"/>
    <w:rsid w:val="00C0461B"/>
    <w:rsid w:val="00C0568B"/>
    <w:rsid w:val="00C111C6"/>
    <w:rsid w:val="00C11BF9"/>
    <w:rsid w:val="00C11F4E"/>
    <w:rsid w:val="00C132E2"/>
    <w:rsid w:val="00C20F36"/>
    <w:rsid w:val="00C20FC0"/>
    <w:rsid w:val="00C23B69"/>
    <w:rsid w:val="00C31DC1"/>
    <w:rsid w:val="00C34C8F"/>
    <w:rsid w:val="00C3581B"/>
    <w:rsid w:val="00C35E25"/>
    <w:rsid w:val="00C37010"/>
    <w:rsid w:val="00C37710"/>
    <w:rsid w:val="00C4019C"/>
    <w:rsid w:val="00C40C7B"/>
    <w:rsid w:val="00C41F33"/>
    <w:rsid w:val="00C433E8"/>
    <w:rsid w:val="00C43515"/>
    <w:rsid w:val="00C43775"/>
    <w:rsid w:val="00C544BD"/>
    <w:rsid w:val="00C575BE"/>
    <w:rsid w:val="00C62D04"/>
    <w:rsid w:val="00C63512"/>
    <w:rsid w:val="00C64767"/>
    <w:rsid w:val="00C67AF0"/>
    <w:rsid w:val="00C73360"/>
    <w:rsid w:val="00C7375D"/>
    <w:rsid w:val="00C74123"/>
    <w:rsid w:val="00C77B2E"/>
    <w:rsid w:val="00C80AFC"/>
    <w:rsid w:val="00C8126D"/>
    <w:rsid w:val="00C845B1"/>
    <w:rsid w:val="00C923A5"/>
    <w:rsid w:val="00C9406E"/>
    <w:rsid w:val="00C96DC8"/>
    <w:rsid w:val="00CA195B"/>
    <w:rsid w:val="00CA60B5"/>
    <w:rsid w:val="00CA7C79"/>
    <w:rsid w:val="00CB1F48"/>
    <w:rsid w:val="00CB4CAD"/>
    <w:rsid w:val="00CB5723"/>
    <w:rsid w:val="00CB5FDE"/>
    <w:rsid w:val="00CC2A38"/>
    <w:rsid w:val="00CC4737"/>
    <w:rsid w:val="00CC60C9"/>
    <w:rsid w:val="00CC6D5E"/>
    <w:rsid w:val="00CD0FEE"/>
    <w:rsid w:val="00CD1FFA"/>
    <w:rsid w:val="00CD589D"/>
    <w:rsid w:val="00CE18C0"/>
    <w:rsid w:val="00CE2C57"/>
    <w:rsid w:val="00CE7080"/>
    <w:rsid w:val="00CE7622"/>
    <w:rsid w:val="00CE7654"/>
    <w:rsid w:val="00CF04FB"/>
    <w:rsid w:val="00CF61D5"/>
    <w:rsid w:val="00CF662C"/>
    <w:rsid w:val="00D0403E"/>
    <w:rsid w:val="00D051CF"/>
    <w:rsid w:val="00D11D32"/>
    <w:rsid w:val="00D1262A"/>
    <w:rsid w:val="00D14937"/>
    <w:rsid w:val="00D15CD0"/>
    <w:rsid w:val="00D20DC2"/>
    <w:rsid w:val="00D22DB7"/>
    <w:rsid w:val="00D23105"/>
    <w:rsid w:val="00D253A5"/>
    <w:rsid w:val="00D2600D"/>
    <w:rsid w:val="00D26A1A"/>
    <w:rsid w:val="00D26C24"/>
    <w:rsid w:val="00D272E1"/>
    <w:rsid w:val="00D30AF2"/>
    <w:rsid w:val="00D335BA"/>
    <w:rsid w:val="00D35B7E"/>
    <w:rsid w:val="00D42639"/>
    <w:rsid w:val="00D44C2A"/>
    <w:rsid w:val="00D450A2"/>
    <w:rsid w:val="00D4537D"/>
    <w:rsid w:val="00D47637"/>
    <w:rsid w:val="00D47B91"/>
    <w:rsid w:val="00D51EE6"/>
    <w:rsid w:val="00D55779"/>
    <w:rsid w:val="00D6221B"/>
    <w:rsid w:val="00D63665"/>
    <w:rsid w:val="00D665C3"/>
    <w:rsid w:val="00D66673"/>
    <w:rsid w:val="00D679B3"/>
    <w:rsid w:val="00D67B09"/>
    <w:rsid w:val="00D67F85"/>
    <w:rsid w:val="00D721D2"/>
    <w:rsid w:val="00D774A8"/>
    <w:rsid w:val="00D809BB"/>
    <w:rsid w:val="00D87333"/>
    <w:rsid w:val="00D90668"/>
    <w:rsid w:val="00D9238A"/>
    <w:rsid w:val="00D92C7C"/>
    <w:rsid w:val="00D93282"/>
    <w:rsid w:val="00D95CBF"/>
    <w:rsid w:val="00DA020F"/>
    <w:rsid w:val="00DA4727"/>
    <w:rsid w:val="00DB0A68"/>
    <w:rsid w:val="00DB2CF6"/>
    <w:rsid w:val="00DB334F"/>
    <w:rsid w:val="00DB46CC"/>
    <w:rsid w:val="00DB54BA"/>
    <w:rsid w:val="00DB631B"/>
    <w:rsid w:val="00DB7D2B"/>
    <w:rsid w:val="00DC0EE8"/>
    <w:rsid w:val="00DC3D7D"/>
    <w:rsid w:val="00DC4621"/>
    <w:rsid w:val="00DC4B9C"/>
    <w:rsid w:val="00DC5D05"/>
    <w:rsid w:val="00DC7D86"/>
    <w:rsid w:val="00DD15FD"/>
    <w:rsid w:val="00DD55D3"/>
    <w:rsid w:val="00DD733C"/>
    <w:rsid w:val="00DD7C50"/>
    <w:rsid w:val="00DE09EC"/>
    <w:rsid w:val="00DE4AF6"/>
    <w:rsid w:val="00DE4DE2"/>
    <w:rsid w:val="00DE59CD"/>
    <w:rsid w:val="00DE66FD"/>
    <w:rsid w:val="00DE6F39"/>
    <w:rsid w:val="00DE7D68"/>
    <w:rsid w:val="00DF4469"/>
    <w:rsid w:val="00DF53E1"/>
    <w:rsid w:val="00DF5D0C"/>
    <w:rsid w:val="00DF6351"/>
    <w:rsid w:val="00DF7F47"/>
    <w:rsid w:val="00E03A60"/>
    <w:rsid w:val="00E1035A"/>
    <w:rsid w:val="00E10AA0"/>
    <w:rsid w:val="00E11157"/>
    <w:rsid w:val="00E12DEC"/>
    <w:rsid w:val="00E13900"/>
    <w:rsid w:val="00E13EDC"/>
    <w:rsid w:val="00E160D7"/>
    <w:rsid w:val="00E16CCB"/>
    <w:rsid w:val="00E17299"/>
    <w:rsid w:val="00E20717"/>
    <w:rsid w:val="00E267FA"/>
    <w:rsid w:val="00E30B2D"/>
    <w:rsid w:val="00E3195B"/>
    <w:rsid w:val="00E32535"/>
    <w:rsid w:val="00E329A0"/>
    <w:rsid w:val="00E3381F"/>
    <w:rsid w:val="00E34FEE"/>
    <w:rsid w:val="00E3528F"/>
    <w:rsid w:val="00E43BF4"/>
    <w:rsid w:val="00E44071"/>
    <w:rsid w:val="00E53C97"/>
    <w:rsid w:val="00E54A5B"/>
    <w:rsid w:val="00E56683"/>
    <w:rsid w:val="00E57760"/>
    <w:rsid w:val="00E6170F"/>
    <w:rsid w:val="00E6172F"/>
    <w:rsid w:val="00E64A04"/>
    <w:rsid w:val="00E65987"/>
    <w:rsid w:val="00E701FF"/>
    <w:rsid w:val="00E7428B"/>
    <w:rsid w:val="00E75C50"/>
    <w:rsid w:val="00E76C7F"/>
    <w:rsid w:val="00E841C8"/>
    <w:rsid w:val="00E91365"/>
    <w:rsid w:val="00E94E3E"/>
    <w:rsid w:val="00E95040"/>
    <w:rsid w:val="00EA7B07"/>
    <w:rsid w:val="00EB14E0"/>
    <w:rsid w:val="00EB1BB8"/>
    <w:rsid w:val="00EB7409"/>
    <w:rsid w:val="00EB7ECC"/>
    <w:rsid w:val="00EC07ED"/>
    <w:rsid w:val="00EC161D"/>
    <w:rsid w:val="00EC1E3A"/>
    <w:rsid w:val="00EC2F2A"/>
    <w:rsid w:val="00EC54F3"/>
    <w:rsid w:val="00EC6630"/>
    <w:rsid w:val="00ED3F11"/>
    <w:rsid w:val="00EE32AA"/>
    <w:rsid w:val="00EE571C"/>
    <w:rsid w:val="00EE5E5F"/>
    <w:rsid w:val="00EE6173"/>
    <w:rsid w:val="00EE6596"/>
    <w:rsid w:val="00EE71BE"/>
    <w:rsid w:val="00EF0008"/>
    <w:rsid w:val="00EF1BFF"/>
    <w:rsid w:val="00EF66A5"/>
    <w:rsid w:val="00EF6C23"/>
    <w:rsid w:val="00F0632F"/>
    <w:rsid w:val="00F070F2"/>
    <w:rsid w:val="00F11BD6"/>
    <w:rsid w:val="00F13C45"/>
    <w:rsid w:val="00F15A78"/>
    <w:rsid w:val="00F163AE"/>
    <w:rsid w:val="00F16A6D"/>
    <w:rsid w:val="00F209FD"/>
    <w:rsid w:val="00F20CF7"/>
    <w:rsid w:val="00F31B22"/>
    <w:rsid w:val="00F3379E"/>
    <w:rsid w:val="00F352D5"/>
    <w:rsid w:val="00F37CE7"/>
    <w:rsid w:val="00F407BB"/>
    <w:rsid w:val="00F470CC"/>
    <w:rsid w:val="00F501CE"/>
    <w:rsid w:val="00F5024E"/>
    <w:rsid w:val="00F51C69"/>
    <w:rsid w:val="00F524E1"/>
    <w:rsid w:val="00F544D6"/>
    <w:rsid w:val="00F54F6B"/>
    <w:rsid w:val="00F56DF9"/>
    <w:rsid w:val="00F60822"/>
    <w:rsid w:val="00F63124"/>
    <w:rsid w:val="00F646BD"/>
    <w:rsid w:val="00F64AF3"/>
    <w:rsid w:val="00F6514C"/>
    <w:rsid w:val="00F65BE4"/>
    <w:rsid w:val="00F701D3"/>
    <w:rsid w:val="00F72E49"/>
    <w:rsid w:val="00F7348B"/>
    <w:rsid w:val="00F801AE"/>
    <w:rsid w:val="00F83D92"/>
    <w:rsid w:val="00F91087"/>
    <w:rsid w:val="00F92044"/>
    <w:rsid w:val="00F93AE6"/>
    <w:rsid w:val="00F93D07"/>
    <w:rsid w:val="00F95F43"/>
    <w:rsid w:val="00FA1A2C"/>
    <w:rsid w:val="00FA2A76"/>
    <w:rsid w:val="00FA3DB3"/>
    <w:rsid w:val="00FA4E37"/>
    <w:rsid w:val="00FA78EE"/>
    <w:rsid w:val="00FB15D5"/>
    <w:rsid w:val="00FB2C2F"/>
    <w:rsid w:val="00FB424D"/>
    <w:rsid w:val="00FC222D"/>
    <w:rsid w:val="00FC5D40"/>
    <w:rsid w:val="00FC7BF6"/>
    <w:rsid w:val="00FD2E6A"/>
    <w:rsid w:val="00FD39A8"/>
    <w:rsid w:val="00FD4199"/>
    <w:rsid w:val="00FD4598"/>
    <w:rsid w:val="00FD6F49"/>
    <w:rsid w:val="00FE27F9"/>
    <w:rsid w:val="00FF060F"/>
    <w:rsid w:val="00FF34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paragraph" w:styleId="Ttulo3">
    <w:name w:val="heading 3"/>
    <w:basedOn w:val="Normal"/>
    <w:next w:val="Normal"/>
    <w:link w:val="Ttulo3Car"/>
    <w:semiHidden/>
    <w:unhideWhenUsed/>
    <w:qFormat/>
    <w:locked/>
    <w:rsid w:val="00CD58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locked/>
    <w:rsid w:val="009459AD"/>
    <w:pPr>
      <w:spacing w:before="100" w:beforeAutospacing="1" w:after="100" w:afterAutospacing="1"/>
      <w:outlineLvl w:val="3"/>
    </w:pPr>
    <w:rPr>
      <w:rFonts w:ascii="Times New Roman" w:eastAsia="Times New Roman" w:hAnsi="Times New Roman"/>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paragraph" w:styleId="HTMLconformatoprevio">
    <w:name w:val="HTML Preformatted"/>
    <w:basedOn w:val="Normal"/>
    <w:link w:val="HTMLconformatoprevioC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75306"/>
    <w:rPr>
      <w:rFonts w:ascii="Courier New" w:eastAsia="Times New Roman" w:hAnsi="Courier New" w:cs="Courier New"/>
      <w:sz w:val="20"/>
      <w:szCs w:val="20"/>
      <w:lang w:val="en-GB" w:eastAsia="en-GB"/>
    </w:rPr>
  </w:style>
  <w:style w:type="character" w:customStyle="1" w:styleId="Ttulo4Car">
    <w:name w:val="Título 4 Car"/>
    <w:basedOn w:val="Fuentedeprrafopredeter"/>
    <w:link w:val="Ttulo4"/>
    <w:uiPriority w:val="9"/>
    <w:rsid w:val="009459AD"/>
    <w:rPr>
      <w:rFonts w:ascii="Times New Roman" w:eastAsia="Times New Roman" w:hAnsi="Times New Roman"/>
      <w:b/>
      <w:bCs/>
      <w:sz w:val="24"/>
      <w:szCs w:val="24"/>
    </w:rPr>
  </w:style>
  <w:style w:type="character" w:styleId="Textoennegrita">
    <w:name w:val="Strong"/>
    <w:basedOn w:val="Fuentedeprrafopredeter"/>
    <w:uiPriority w:val="22"/>
    <w:qFormat/>
    <w:locked/>
    <w:rsid w:val="008F6F05"/>
    <w:rPr>
      <w:b/>
      <w:bCs/>
    </w:rPr>
  </w:style>
  <w:style w:type="character" w:customStyle="1" w:styleId="Ttulo3Car">
    <w:name w:val="Título 3 Car"/>
    <w:basedOn w:val="Fuentedeprrafopredeter"/>
    <w:link w:val="Ttulo3"/>
    <w:semiHidden/>
    <w:rsid w:val="00CD589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paragraph" w:styleId="Ttulo3">
    <w:name w:val="heading 3"/>
    <w:basedOn w:val="Normal"/>
    <w:next w:val="Normal"/>
    <w:link w:val="Ttulo3Car"/>
    <w:semiHidden/>
    <w:unhideWhenUsed/>
    <w:qFormat/>
    <w:locked/>
    <w:rsid w:val="00CD58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locked/>
    <w:rsid w:val="009459AD"/>
    <w:pPr>
      <w:spacing w:before="100" w:beforeAutospacing="1" w:after="100" w:afterAutospacing="1"/>
      <w:outlineLvl w:val="3"/>
    </w:pPr>
    <w:rPr>
      <w:rFonts w:ascii="Times New Roman" w:eastAsia="Times New Roman" w:hAnsi="Times New Roman"/>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paragraph" w:styleId="HTMLconformatoprevio">
    <w:name w:val="HTML Preformatted"/>
    <w:basedOn w:val="Normal"/>
    <w:link w:val="HTMLconformatoprevioC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75306"/>
    <w:rPr>
      <w:rFonts w:ascii="Courier New" w:eastAsia="Times New Roman" w:hAnsi="Courier New" w:cs="Courier New"/>
      <w:sz w:val="20"/>
      <w:szCs w:val="20"/>
      <w:lang w:val="en-GB" w:eastAsia="en-GB"/>
    </w:rPr>
  </w:style>
  <w:style w:type="character" w:customStyle="1" w:styleId="Ttulo4Car">
    <w:name w:val="Título 4 Car"/>
    <w:basedOn w:val="Fuentedeprrafopredeter"/>
    <w:link w:val="Ttulo4"/>
    <w:uiPriority w:val="9"/>
    <w:rsid w:val="009459AD"/>
    <w:rPr>
      <w:rFonts w:ascii="Times New Roman" w:eastAsia="Times New Roman" w:hAnsi="Times New Roman"/>
      <w:b/>
      <w:bCs/>
      <w:sz w:val="24"/>
      <w:szCs w:val="24"/>
    </w:rPr>
  </w:style>
  <w:style w:type="character" w:styleId="Textoennegrita">
    <w:name w:val="Strong"/>
    <w:basedOn w:val="Fuentedeprrafopredeter"/>
    <w:uiPriority w:val="22"/>
    <w:qFormat/>
    <w:locked/>
    <w:rsid w:val="008F6F05"/>
    <w:rPr>
      <w:b/>
      <w:bCs/>
    </w:rPr>
  </w:style>
  <w:style w:type="character" w:customStyle="1" w:styleId="Ttulo3Car">
    <w:name w:val="Título 3 Car"/>
    <w:basedOn w:val="Fuentedeprrafopredeter"/>
    <w:link w:val="Ttulo3"/>
    <w:semiHidden/>
    <w:rsid w:val="00CD589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98766684">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434978281">
      <w:bodyDiv w:val="1"/>
      <w:marLeft w:val="0"/>
      <w:marRight w:val="0"/>
      <w:marTop w:val="0"/>
      <w:marBottom w:val="0"/>
      <w:divBdr>
        <w:top w:val="none" w:sz="0" w:space="0" w:color="auto"/>
        <w:left w:val="none" w:sz="0" w:space="0" w:color="auto"/>
        <w:bottom w:val="none" w:sz="0" w:space="0" w:color="auto"/>
        <w:right w:val="none" w:sz="0" w:space="0" w:color="auto"/>
      </w:divBdr>
    </w:div>
    <w:div w:id="443382104">
      <w:bodyDiv w:val="1"/>
      <w:marLeft w:val="0"/>
      <w:marRight w:val="0"/>
      <w:marTop w:val="0"/>
      <w:marBottom w:val="0"/>
      <w:divBdr>
        <w:top w:val="none" w:sz="0" w:space="0" w:color="auto"/>
        <w:left w:val="none" w:sz="0" w:space="0" w:color="auto"/>
        <w:bottom w:val="none" w:sz="0" w:space="0" w:color="auto"/>
        <w:right w:val="none" w:sz="0" w:space="0" w:color="auto"/>
      </w:divBdr>
    </w:div>
    <w:div w:id="595290248">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802844610">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141461885">
      <w:bodyDiv w:val="1"/>
      <w:marLeft w:val="0"/>
      <w:marRight w:val="0"/>
      <w:marTop w:val="0"/>
      <w:marBottom w:val="0"/>
      <w:divBdr>
        <w:top w:val="none" w:sz="0" w:space="0" w:color="auto"/>
        <w:left w:val="none" w:sz="0" w:space="0" w:color="auto"/>
        <w:bottom w:val="none" w:sz="0" w:space="0" w:color="auto"/>
        <w:right w:val="none" w:sz="0" w:space="0" w:color="auto"/>
      </w:divBdr>
    </w:div>
    <w:div w:id="1219055991">
      <w:bodyDiv w:val="1"/>
      <w:marLeft w:val="0"/>
      <w:marRight w:val="0"/>
      <w:marTop w:val="0"/>
      <w:marBottom w:val="0"/>
      <w:divBdr>
        <w:top w:val="none" w:sz="0" w:space="0" w:color="auto"/>
        <w:left w:val="none" w:sz="0" w:space="0" w:color="auto"/>
        <w:bottom w:val="none" w:sz="0" w:space="0" w:color="auto"/>
        <w:right w:val="none" w:sz="0" w:space="0" w:color="auto"/>
      </w:divBdr>
    </w:div>
    <w:div w:id="1284536486">
      <w:bodyDiv w:val="1"/>
      <w:marLeft w:val="0"/>
      <w:marRight w:val="0"/>
      <w:marTop w:val="0"/>
      <w:marBottom w:val="0"/>
      <w:divBdr>
        <w:top w:val="none" w:sz="0" w:space="0" w:color="auto"/>
        <w:left w:val="none" w:sz="0" w:space="0" w:color="auto"/>
        <w:bottom w:val="none" w:sz="0" w:space="0" w:color="auto"/>
        <w:right w:val="none" w:sz="0" w:space="0" w:color="auto"/>
      </w:divBdr>
    </w:div>
    <w:div w:id="1468159461">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516964815">
      <w:bodyDiv w:val="1"/>
      <w:marLeft w:val="0"/>
      <w:marRight w:val="0"/>
      <w:marTop w:val="0"/>
      <w:marBottom w:val="0"/>
      <w:divBdr>
        <w:top w:val="none" w:sz="0" w:space="0" w:color="auto"/>
        <w:left w:val="none" w:sz="0" w:space="0" w:color="auto"/>
        <w:bottom w:val="none" w:sz="0" w:space="0" w:color="auto"/>
        <w:right w:val="none" w:sz="0" w:space="0" w:color="auto"/>
      </w:divBdr>
      <w:divsChild>
        <w:div w:id="42025701">
          <w:marLeft w:val="0"/>
          <w:marRight w:val="0"/>
          <w:marTop w:val="0"/>
          <w:marBottom w:val="0"/>
          <w:divBdr>
            <w:top w:val="none" w:sz="0" w:space="0" w:color="auto"/>
            <w:left w:val="none" w:sz="0" w:space="0" w:color="auto"/>
            <w:bottom w:val="none" w:sz="0" w:space="0" w:color="auto"/>
            <w:right w:val="none" w:sz="0" w:space="0" w:color="auto"/>
          </w:divBdr>
          <w:divsChild>
            <w:div w:id="1537935524">
              <w:marLeft w:val="0"/>
              <w:marRight w:val="0"/>
              <w:marTop w:val="0"/>
              <w:marBottom w:val="0"/>
              <w:divBdr>
                <w:top w:val="none" w:sz="0" w:space="0" w:color="auto"/>
                <w:left w:val="none" w:sz="0" w:space="0" w:color="auto"/>
                <w:bottom w:val="none" w:sz="0" w:space="0" w:color="auto"/>
                <w:right w:val="none" w:sz="0" w:space="0" w:color="auto"/>
              </w:divBdr>
              <w:divsChild>
                <w:div w:id="108084868">
                  <w:marLeft w:val="0"/>
                  <w:marRight w:val="0"/>
                  <w:marTop w:val="0"/>
                  <w:marBottom w:val="0"/>
                  <w:divBdr>
                    <w:top w:val="none" w:sz="0" w:space="0" w:color="auto"/>
                    <w:left w:val="none" w:sz="0" w:space="0" w:color="auto"/>
                    <w:bottom w:val="none" w:sz="0" w:space="0" w:color="auto"/>
                    <w:right w:val="none" w:sz="0" w:space="0" w:color="auto"/>
                  </w:divBdr>
                  <w:divsChild>
                    <w:div w:id="1511214339">
                      <w:marLeft w:val="0"/>
                      <w:marRight w:val="0"/>
                      <w:marTop w:val="0"/>
                      <w:marBottom w:val="0"/>
                      <w:divBdr>
                        <w:top w:val="none" w:sz="0" w:space="0" w:color="auto"/>
                        <w:left w:val="none" w:sz="0" w:space="0" w:color="auto"/>
                        <w:bottom w:val="none" w:sz="0" w:space="0" w:color="auto"/>
                        <w:right w:val="none" w:sz="0" w:space="0" w:color="auto"/>
                      </w:divBdr>
                      <w:divsChild>
                        <w:div w:id="750809949">
                          <w:marLeft w:val="-2595"/>
                          <w:marRight w:val="0"/>
                          <w:marTop w:val="0"/>
                          <w:marBottom w:val="0"/>
                          <w:divBdr>
                            <w:top w:val="none" w:sz="0" w:space="0" w:color="auto"/>
                            <w:left w:val="none" w:sz="0" w:space="0" w:color="auto"/>
                            <w:bottom w:val="none" w:sz="0" w:space="0" w:color="auto"/>
                            <w:right w:val="none" w:sz="0" w:space="0" w:color="auto"/>
                          </w:divBdr>
                          <w:divsChild>
                            <w:div w:id="1797334543">
                              <w:marLeft w:val="0"/>
                              <w:marRight w:val="0"/>
                              <w:marTop w:val="0"/>
                              <w:marBottom w:val="0"/>
                              <w:divBdr>
                                <w:top w:val="none" w:sz="0" w:space="0" w:color="auto"/>
                                <w:left w:val="none" w:sz="0" w:space="0" w:color="auto"/>
                                <w:bottom w:val="none" w:sz="0" w:space="0" w:color="auto"/>
                                <w:right w:val="none" w:sz="0" w:space="0" w:color="auto"/>
                              </w:divBdr>
                              <w:divsChild>
                                <w:div w:id="711265597">
                                  <w:marLeft w:val="0"/>
                                  <w:marRight w:val="0"/>
                                  <w:marTop w:val="0"/>
                                  <w:marBottom w:val="0"/>
                                  <w:divBdr>
                                    <w:top w:val="none" w:sz="0" w:space="0" w:color="auto"/>
                                    <w:left w:val="none" w:sz="0" w:space="0" w:color="auto"/>
                                    <w:bottom w:val="none" w:sz="0" w:space="0" w:color="auto"/>
                                    <w:right w:val="none" w:sz="0" w:space="0" w:color="auto"/>
                                  </w:divBdr>
                                  <w:divsChild>
                                    <w:div w:id="777917936">
                                      <w:marLeft w:val="0"/>
                                      <w:marRight w:val="0"/>
                                      <w:marTop w:val="0"/>
                                      <w:marBottom w:val="0"/>
                                      <w:divBdr>
                                        <w:top w:val="none" w:sz="0" w:space="0" w:color="auto"/>
                                        <w:left w:val="none" w:sz="0" w:space="0" w:color="auto"/>
                                        <w:bottom w:val="none" w:sz="0" w:space="0" w:color="auto"/>
                                        <w:right w:val="none" w:sz="0" w:space="0" w:color="auto"/>
                                      </w:divBdr>
                                      <w:divsChild>
                                        <w:div w:id="143251175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980908">
      <w:bodyDiv w:val="1"/>
      <w:marLeft w:val="0"/>
      <w:marRight w:val="0"/>
      <w:marTop w:val="0"/>
      <w:marBottom w:val="0"/>
      <w:divBdr>
        <w:top w:val="none" w:sz="0" w:space="0" w:color="auto"/>
        <w:left w:val="none" w:sz="0" w:space="0" w:color="auto"/>
        <w:bottom w:val="none" w:sz="0" w:space="0" w:color="auto"/>
        <w:right w:val="none" w:sz="0" w:space="0" w:color="auto"/>
      </w:divBdr>
    </w:div>
    <w:div w:id="1682855894">
      <w:bodyDiv w:val="1"/>
      <w:marLeft w:val="0"/>
      <w:marRight w:val="0"/>
      <w:marTop w:val="0"/>
      <w:marBottom w:val="0"/>
      <w:divBdr>
        <w:top w:val="none" w:sz="0" w:space="0" w:color="auto"/>
        <w:left w:val="none" w:sz="0" w:space="0" w:color="auto"/>
        <w:bottom w:val="none" w:sz="0" w:space="0" w:color="auto"/>
        <w:right w:val="none" w:sz="0" w:space="0" w:color="auto"/>
      </w:divBdr>
    </w:div>
    <w:div w:id="19445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cofa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014C-41B2-4E7E-9BB7-D62D5C8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883</Words>
  <Characters>5052</Characters>
  <Application>Microsoft Office Word</Application>
  <DocSecurity>0</DocSecurity>
  <Lines>42</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Paris, 16 septembre 2013</vt:lpstr>
      <vt:lpstr>Paris, 16 septembre 2013</vt:lpstr>
    </vt:vector>
  </TitlesOfParts>
  <Company>COFACE</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BRIGHENTI Clara</cp:lastModifiedBy>
  <cp:revision>4</cp:revision>
  <cp:lastPrinted>2016-08-30T10:52:00Z</cp:lastPrinted>
  <dcterms:created xsi:type="dcterms:W3CDTF">2016-09-26T16:57:00Z</dcterms:created>
  <dcterms:modified xsi:type="dcterms:W3CDTF">2016-09-26T17:09:00Z</dcterms:modified>
</cp:coreProperties>
</file>