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5D21" w:rsidRPr="00883C77" w:rsidRDefault="00B85D21" w:rsidP="00B85D21">
      <w:pPr>
        <w:pStyle w:val="Body1"/>
        <w:suppressAutoHyphens/>
        <w:spacing w:line="270" w:lineRule="exact"/>
        <w:rPr>
          <w:rFonts w:ascii="Arial" w:hAnsi="Arial" w:cs="Arial"/>
          <w:sz w:val="20"/>
          <w:lang w:val="es-MX"/>
        </w:rPr>
      </w:pPr>
      <w:bookmarkStart w:id="0" w:name="_GoBack"/>
      <w:bookmarkEnd w:id="0"/>
      <w:r>
        <w:rPr>
          <w:rFonts w:ascii="Arial" w:hAnsi="Arial"/>
          <w:sz w:val="20"/>
          <w:lang w:val="es-MX"/>
        </w:rPr>
        <w:t>Buenos Aires</w:t>
      </w:r>
      <w:r w:rsidRPr="00883C77">
        <w:rPr>
          <w:rFonts w:ascii="Arial" w:hAnsi="Arial"/>
          <w:sz w:val="20"/>
          <w:lang w:val="es-MX"/>
        </w:rPr>
        <w:t xml:space="preserve">, </w:t>
      </w:r>
      <w:r w:rsidR="00FC78FD">
        <w:rPr>
          <w:rFonts w:ascii="Arial" w:hAnsi="Arial"/>
          <w:sz w:val="20"/>
          <w:lang w:val="es-MX"/>
        </w:rPr>
        <w:t>18</w:t>
      </w:r>
      <w:r w:rsidRPr="00883C77">
        <w:rPr>
          <w:rFonts w:ascii="Arial" w:hAnsi="Arial"/>
          <w:sz w:val="20"/>
          <w:lang w:val="es-MX"/>
        </w:rPr>
        <w:t xml:space="preserve"> de </w:t>
      </w:r>
      <w:r w:rsidR="00FC78FD">
        <w:rPr>
          <w:rFonts w:ascii="Arial" w:hAnsi="Arial"/>
          <w:sz w:val="20"/>
          <w:lang w:val="es-MX"/>
        </w:rPr>
        <w:t>mayo</w:t>
      </w:r>
      <w:r w:rsidRPr="00883C77">
        <w:rPr>
          <w:rFonts w:ascii="Arial" w:hAnsi="Arial"/>
          <w:sz w:val="20"/>
          <w:lang w:val="es-MX"/>
        </w:rPr>
        <w:t xml:space="preserve"> de 2017</w:t>
      </w:r>
    </w:p>
    <w:p w:rsidR="00CE2447" w:rsidRPr="00245D0A" w:rsidRDefault="00CE2447" w:rsidP="00CE2447">
      <w:pPr>
        <w:suppressAutoHyphens/>
        <w:spacing w:line="270" w:lineRule="exact"/>
        <w:jc w:val="both"/>
        <w:rPr>
          <w:rFonts w:ascii="Arial" w:hAnsi="Arial" w:cs="Arial"/>
          <w:b/>
          <w:bCs/>
          <w:color w:val="000000"/>
          <w:sz w:val="22"/>
          <w:szCs w:val="22"/>
          <w:lang w:val="es-MX"/>
        </w:rPr>
      </w:pPr>
    </w:p>
    <w:p w:rsidR="00DC6F3C" w:rsidRDefault="00DC6F3C" w:rsidP="00CE2447">
      <w:pPr>
        <w:suppressAutoHyphens/>
        <w:spacing w:line="270" w:lineRule="exact"/>
        <w:jc w:val="both"/>
        <w:rPr>
          <w:rFonts w:ascii="Arial" w:hAnsi="Arial" w:cs="Arial"/>
          <w:b/>
          <w:bCs/>
          <w:color w:val="000000"/>
          <w:sz w:val="26"/>
          <w:szCs w:val="26"/>
          <w:lang w:val="es-MX"/>
        </w:rPr>
      </w:pPr>
    </w:p>
    <w:p w:rsidR="008C30EC" w:rsidRDefault="00FC78FD" w:rsidP="00CE2447">
      <w:pPr>
        <w:suppressAutoHyphens/>
        <w:spacing w:line="270" w:lineRule="exact"/>
        <w:jc w:val="both"/>
        <w:rPr>
          <w:rFonts w:ascii="Arial" w:hAnsi="Arial" w:cs="Arial"/>
          <w:b/>
          <w:bCs/>
          <w:color w:val="000000"/>
          <w:sz w:val="26"/>
          <w:szCs w:val="26"/>
          <w:lang w:val="es-MX"/>
        </w:rPr>
      </w:pPr>
      <w:r w:rsidRPr="00FC78FD">
        <w:rPr>
          <w:rFonts w:ascii="Arial" w:hAnsi="Arial" w:cs="Arial"/>
          <w:b/>
          <w:bCs/>
          <w:color w:val="000000"/>
          <w:sz w:val="26"/>
          <w:szCs w:val="26"/>
          <w:lang w:val="es-MX"/>
        </w:rPr>
        <w:t>Escasez de mano de obra en Europa Central y Oriental: una oportunidad para los hogares, pero una amenaza para las empresas locales</w:t>
      </w:r>
      <w:r w:rsidR="00245D0A">
        <w:rPr>
          <w:rFonts w:ascii="Arial" w:hAnsi="Arial" w:cs="Arial"/>
          <w:b/>
          <w:bCs/>
          <w:color w:val="000000"/>
          <w:sz w:val="26"/>
          <w:szCs w:val="26"/>
          <w:lang w:val="es-MX"/>
        </w:rPr>
        <w:t xml:space="preserve"> </w:t>
      </w:r>
    </w:p>
    <w:p w:rsidR="00245D0A" w:rsidRPr="00245D0A" w:rsidRDefault="00245D0A" w:rsidP="00CE2447">
      <w:pPr>
        <w:suppressAutoHyphens/>
        <w:spacing w:line="270" w:lineRule="exact"/>
        <w:jc w:val="both"/>
        <w:rPr>
          <w:rFonts w:ascii="Arial" w:hAnsi="Arial" w:cs="Arial"/>
          <w:b/>
          <w:bCs/>
          <w:color w:val="000000"/>
          <w:sz w:val="22"/>
          <w:szCs w:val="22"/>
          <w:lang w:val="es-MX"/>
        </w:rPr>
      </w:pPr>
    </w:p>
    <w:p w:rsidR="00FC78FD" w:rsidRDefault="00FC78FD" w:rsidP="00CD728E">
      <w:pPr>
        <w:suppressAutoHyphens/>
        <w:spacing w:line="270" w:lineRule="exact"/>
        <w:jc w:val="both"/>
        <w:rPr>
          <w:rFonts w:ascii="Arial" w:hAnsi="Arial" w:cs="Arial"/>
          <w:b/>
          <w:bCs/>
          <w:color w:val="000000"/>
          <w:sz w:val="22"/>
          <w:szCs w:val="22"/>
          <w:lang w:val="es-MX"/>
        </w:rPr>
      </w:pPr>
      <w:r w:rsidRPr="00FC78FD">
        <w:rPr>
          <w:rFonts w:ascii="Arial" w:hAnsi="Arial" w:cs="Arial"/>
          <w:b/>
          <w:bCs/>
          <w:color w:val="000000"/>
          <w:sz w:val="22"/>
          <w:szCs w:val="22"/>
          <w:lang w:val="es-MX"/>
        </w:rPr>
        <w:t>La evolución del mercado laboral de los países de Europa Central y Oriental ha sido favorable para los hogares. Los aumentos salariales y la baja inflación, junto con la mejora de la confianza del consumidor, han resultado en una disminución del desempleo y un aumento del consumo. Sin embargo, es tal el repunte del mercado laboral que las empresas encuentran cada vez más dificultades para reclutar personal, sobre todo personal cualificado. La escasez de mano de obra y el consiguiente aumento de los cost</w:t>
      </w:r>
      <w:r>
        <w:rPr>
          <w:rFonts w:ascii="Arial" w:hAnsi="Arial" w:cs="Arial"/>
          <w:b/>
          <w:bCs/>
          <w:color w:val="000000"/>
          <w:sz w:val="22"/>
          <w:szCs w:val="22"/>
          <w:lang w:val="es-MX"/>
        </w:rPr>
        <w:t>o</w:t>
      </w:r>
      <w:r w:rsidRPr="00FC78FD">
        <w:rPr>
          <w:rFonts w:ascii="Arial" w:hAnsi="Arial" w:cs="Arial"/>
          <w:b/>
          <w:bCs/>
          <w:color w:val="000000"/>
          <w:sz w:val="22"/>
          <w:szCs w:val="22"/>
          <w:lang w:val="es-MX"/>
        </w:rPr>
        <w:t>s laborales suscitan inquietudes en la comunidad empresarial.</w:t>
      </w:r>
    </w:p>
    <w:p w:rsidR="00FC78FD" w:rsidRDefault="00FC78FD" w:rsidP="00CD728E">
      <w:pPr>
        <w:suppressAutoHyphens/>
        <w:spacing w:line="270" w:lineRule="exact"/>
        <w:jc w:val="both"/>
        <w:rPr>
          <w:rFonts w:ascii="Arial" w:hAnsi="Arial" w:cs="Arial"/>
          <w:b/>
          <w:bCs/>
          <w:color w:val="000000"/>
          <w:sz w:val="22"/>
          <w:szCs w:val="22"/>
          <w:lang w:val="es-MX"/>
        </w:rPr>
      </w:pPr>
    </w:p>
    <w:p w:rsidR="00D5616B" w:rsidRDefault="00FC78FD" w:rsidP="00FC78FD">
      <w:pPr>
        <w:suppressAutoHyphens/>
        <w:spacing w:line="270" w:lineRule="exact"/>
        <w:jc w:val="both"/>
        <w:rPr>
          <w:rFonts w:ascii="Arial" w:eastAsia="PMingLiU" w:hAnsi="Arial"/>
          <w:sz w:val="20"/>
          <w:szCs w:val="20"/>
          <w:lang w:val="es-MX" w:eastAsia="zh-TW"/>
        </w:rPr>
      </w:pPr>
      <w:r w:rsidRPr="00FC78FD">
        <w:rPr>
          <w:rFonts w:ascii="Arial" w:eastAsia="PMingLiU" w:hAnsi="Arial"/>
          <w:sz w:val="20"/>
          <w:szCs w:val="20"/>
          <w:lang w:val="es-MX" w:eastAsia="zh-TW"/>
        </w:rPr>
        <w:t>El mercado laboral en la región de Europa Central y Oriental continúa mejorando</w:t>
      </w:r>
      <w:r>
        <w:rPr>
          <w:rFonts w:ascii="Arial" w:eastAsia="PMingLiU" w:hAnsi="Arial"/>
          <w:sz w:val="20"/>
          <w:szCs w:val="20"/>
          <w:lang w:val="es-MX" w:eastAsia="zh-TW"/>
        </w:rPr>
        <w:t xml:space="preserve">. </w:t>
      </w:r>
      <w:r w:rsidRPr="00FC78FD">
        <w:rPr>
          <w:rFonts w:ascii="Arial" w:eastAsia="PMingLiU" w:hAnsi="Arial"/>
          <w:sz w:val="20"/>
          <w:szCs w:val="20"/>
          <w:lang w:val="es-MX" w:eastAsia="zh-TW"/>
        </w:rPr>
        <w:t>Las tasas de desempleo han alcanzado niveles históricamente bajos y en la mayoría de las economías de los países de Europa Central y Oriental las estadísticas del desempleo son mejores que la media de la UE. Estas cifras han mejorado significativamente en los dos últimos años. Las subas salariales, la débil inflación y el aumento de la confianza del consumidor han hecho del consumo de los hogares el principal motor de la expansión económica. La mayoría de los países de Europa Central y Oriental han registrado en los últimos años una dinámica salarial positiva. Desde 2010, el salario bruto se ha disparado en más de un 30% en Rumanía y Bulgaria y en más de un 20% en Hungría y Polonia.</w:t>
      </w:r>
    </w:p>
    <w:p w:rsidR="00FC78FD" w:rsidRDefault="00FC78FD" w:rsidP="00FC78FD">
      <w:pPr>
        <w:suppressAutoHyphens/>
        <w:spacing w:line="270" w:lineRule="exact"/>
        <w:jc w:val="both"/>
        <w:rPr>
          <w:rFonts w:ascii="Arial" w:eastAsia="PMingLiU" w:hAnsi="Arial"/>
          <w:sz w:val="20"/>
          <w:szCs w:val="20"/>
          <w:lang w:val="es-MX" w:eastAsia="zh-TW"/>
        </w:rPr>
      </w:pPr>
    </w:p>
    <w:p w:rsidR="00565B59" w:rsidRPr="001A1266" w:rsidRDefault="00FC78FD" w:rsidP="00CD728E">
      <w:pPr>
        <w:suppressAutoHyphens/>
        <w:spacing w:line="270" w:lineRule="exact"/>
        <w:jc w:val="both"/>
        <w:rPr>
          <w:rFonts w:ascii="Arial" w:eastAsia="PMingLiU" w:hAnsi="Arial"/>
          <w:b/>
          <w:sz w:val="20"/>
          <w:szCs w:val="20"/>
          <w:lang w:val="es-MX" w:eastAsia="zh-TW"/>
        </w:rPr>
      </w:pPr>
      <w:r w:rsidRPr="00FC78FD">
        <w:rPr>
          <w:rFonts w:ascii="Arial" w:eastAsia="PMingLiU" w:hAnsi="Arial"/>
          <w:b/>
          <w:sz w:val="20"/>
          <w:szCs w:val="20"/>
          <w:lang w:val="es-MX" w:eastAsia="zh-TW"/>
        </w:rPr>
        <w:t>El poder de negociación, la baja tasa de natalidad y la emigración han contribuido a esta escasez de mano de obra</w:t>
      </w:r>
      <w:r w:rsidR="00565B59" w:rsidRPr="001A1266">
        <w:rPr>
          <w:rFonts w:ascii="Arial" w:eastAsia="PMingLiU" w:hAnsi="Arial"/>
          <w:b/>
          <w:sz w:val="20"/>
          <w:szCs w:val="20"/>
          <w:lang w:val="es-MX" w:eastAsia="zh-TW"/>
        </w:rPr>
        <w:t xml:space="preserve"> </w:t>
      </w:r>
    </w:p>
    <w:p w:rsidR="00565B59" w:rsidRPr="001A1266" w:rsidRDefault="00565B59" w:rsidP="00CD728E">
      <w:pPr>
        <w:suppressAutoHyphens/>
        <w:spacing w:line="270" w:lineRule="exact"/>
        <w:jc w:val="both"/>
        <w:rPr>
          <w:rFonts w:ascii="Arial" w:eastAsia="PMingLiU" w:hAnsi="Arial"/>
          <w:sz w:val="20"/>
          <w:szCs w:val="20"/>
          <w:lang w:val="es-MX" w:eastAsia="zh-TW"/>
        </w:rPr>
      </w:pPr>
    </w:p>
    <w:p w:rsidR="00FC78FD" w:rsidRPr="00FC78FD" w:rsidRDefault="00FC78FD" w:rsidP="00FC78FD">
      <w:pPr>
        <w:suppressAutoHyphens/>
        <w:spacing w:line="270" w:lineRule="exact"/>
        <w:jc w:val="both"/>
        <w:rPr>
          <w:rFonts w:ascii="Arial" w:eastAsia="PMingLiU" w:hAnsi="Arial"/>
          <w:sz w:val="20"/>
          <w:szCs w:val="20"/>
          <w:lang w:val="es-MX" w:eastAsia="zh-TW"/>
        </w:rPr>
      </w:pPr>
      <w:r w:rsidRPr="00FC78FD">
        <w:rPr>
          <w:rFonts w:ascii="Arial" w:eastAsia="PMingLiU" w:hAnsi="Arial"/>
          <w:sz w:val="20"/>
          <w:szCs w:val="20"/>
          <w:lang w:val="es-MX" w:eastAsia="zh-TW"/>
        </w:rPr>
        <w:t>No obstante, si bien los hogares y la actividad económica en general se están beneficiando de esta evolución, las empresas se ven perjudicadas, ya que deben hacer frente al aumento del poder de negociación salarial y se ven obligadas a ofrecer remuneraciones más elevadas. Varios factores explican esta escasez de mano de obra: la fuerte demanda interna y externa, la baja tasa de natalidad y la emigración hacia los países de Europa Occidental. Un creciente número de empresas afirma que esta situación representa un freno para su expansión.</w:t>
      </w:r>
    </w:p>
    <w:p w:rsidR="00FC78FD" w:rsidRPr="00FC78FD" w:rsidRDefault="00FC78FD" w:rsidP="00FC78FD">
      <w:pPr>
        <w:suppressAutoHyphens/>
        <w:spacing w:line="270" w:lineRule="exact"/>
        <w:jc w:val="both"/>
        <w:rPr>
          <w:rFonts w:ascii="Arial" w:eastAsia="PMingLiU" w:hAnsi="Arial"/>
          <w:sz w:val="20"/>
          <w:szCs w:val="20"/>
          <w:lang w:val="es-MX" w:eastAsia="zh-TW"/>
        </w:rPr>
      </w:pPr>
    </w:p>
    <w:p w:rsidR="00FC78FD" w:rsidRPr="00FC78FD" w:rsidRDefault="00FC78FD" w:rsidP="00FC78FD">
      <w:pPr>
        <w:suppressAutoHyphens/>
        <w:spacing w:line="270" w:lineRule="exact"/>
        <w:jc w:val="both"/>
        <w:rPr>
          <w:rFonts w:ascii="Arial" w:eastAsia="PMingLiU" w:hAnsi="Arial"/>
          <w:sz w:val="20"/>
          <w:szCs w:val="20"/>
          <w:lang w:val="es-MX" w:eastAsia="zh-TW"/>
        </w:rPr>
      </w:pPr>
      <w:r w:rsidRPr="00FC78FD">
        <w:rPr>
          <w:rFonts w:ascii="Arial" w:eastAsia="PMingLiU" w:hAnsi="Arial"/>
          <w:sz w:val="20"/>
          <w:szCs w:val="20"/>
          <w:lang w:val="es-MX" w:eastAsia="zh-TW"/>
        </w:rPr>
        <w:t>Incluso las empresas que ofrecen salarios más elevados están encontrando dificultades para contratar personal. Las vacantes son especialmente abundantes en la República Checa y Hungría. Los aumentos salariales son actualmente superiores a los beneficios de productividad. No obst</w:t>
      </w:r>
      <w:r>
        <w:rPr>
          <w:rFonts w:ascii="Arial" w:eastAsia="PMingLiU" w:hAnsi="Arial"/>
          <w:sz w:val="20"/>
          <w:szCs w:val="20"/>
          <w:lang w:val="es-MX" w:eastAsia="zh-TW"/>
        </w:rPr>
        <w:t>ante, afortunadamente, los costo</w:t>
      </w:r>
      <w:r w:rsidRPr="00FC78FD">
        <w:rPr>
          <w:rFonts w:ascii="Arial" w:eastAsia="PMingLiU" w:hAnsi="Arial"/>
          <w:sz w:val="20"/>
          <w:szCs w:val="20"/>
          <w:lang w:val="es-MX" w:eastAsia="zh-TW"/>
        </w:rPr>
        <w:t>s laborales en la región son tres veces más bajos que la media de los países de Europa Occidental.</w:t>
      </w:r>
    </w:p>
    <w:p w:rsidR="00FC78FD" w:rsidRPr="00FC78FD" w:rsidRDefault="00FC78FD" w:rsidP="00FC78FD">
      <w:pPr>
        <w:suppressAutoHyphens/>
        <w:spacing w:line="270" w:lineRule="exact"/>
        <w:jc w:val="both"/>
        <w:rPr>
          <w:rFonts w:ascii="Arial" w:eastAsia="PMingLiU" w:hAnsi="Arial"/>
          <w:sz w:val="20"/>
          <w:szCs w:val="20"/>
          <w:lang w:val="es-MX" w:eastAsia="zh-TW"/>
        </w:rPr>
      </w:pPr>
    </w:p>
    <w:p w:rsidR="00235422" w:rsidRDefault="00FC78FD" w:rsidP="00FC78FD">
      <w:pPr>
        <w:suppressAutoHyphens/>
        <w:spacing w:line="270" w:lineRule="exact"/>
        <w:jc w:val="both"/>
        <w:rPr>
          <w:rFonts w:ascii="Arial" w:eastAsia="PMingLiU" w:hAnsi="Arial"/>
          <w:sz w:val="20"/>
          <w:szCs w:val="20"/>
          <w:lang w:val="es-MX" w:eastAsia="zh-TW"/>
        </w:rPr>
      </w:pPr>
      <w:r w:rsidRPr="00FC78FD">
        <w:rPr>
          <w:rFonts w:ascii="Arial" w:eastAsia="PMingLiU" w:hAnsi="Arial"/>
          <w:sz w:val="20"/>
          <w:szCs w:val="20"/>
          <w:lang w:val="es-MX" w:eastAsia="zh-TW"/>
        </w:rPr>
        <w:t>Esta ventajosa brecha para los países de Europa Central y Oriental en términos de cost</w:t>
      </w:r>
      <w:r w:rsidR="00235422">
        <w:rPr>
          <w:rFonts w:ascii="Arial" w:eastAsia="PMingLiU" w:hAnsi="Arial"/>
          <w:sz w:val="20"/>
          <w:szCs w:val="20"/>
          <w:lang w:val="es-MX" w:eastAsia="zh-TW"/>
        </w:rPr>
        <w:t>o</w:t>
      </w:r>
      <w:r w:rsidRPr="00FC78FD">
        <w:rPr>
          <w:rFonts w:ascii="Arial" w:eastAsia="PMingLiU" w:hAnsi="Arial"/>
          <w:sz w:val="20"/>
          <w:szCs w:val="20"/>
          <w:lang w:val="es-MX" w:eastAsia="zh-TW"/>
        </w:rPr>
        <w:t xml:space="preserve">s laborales unitarios, así como su proximidad geográfica y cultural, debería continuar </w:t>
      </w:r>
      <w:r w:rsidRPr="00FC78FD">
        <w:rPr>
          <w:rFonts w:ascii="Arial" w:eastAsia="PMingLiU" w:hAnsi="Arial"/>
          <w:sz w:val="20"/>
          <w:szCs w:val="20"/>
          <w:lang w:val="es-MX" w:eastAsia="zh-TW"/>
        </w:rPr>
        <w:lastRenderedPageBreak/>
        <w:t>favoreciendo su competitividad. No obstante, estas ventajas podrían verse comprometidas a medi</w:t>
      </w:r>
      <w:r w:rsidR="00235422">
        <w:rPr>
          <w:rFonts w:ascii="Arial" w:eastAsia="PMingLiU" w:hAnsi="Arial"/>
          <w:sz w:val="20"/>
          <w:szCs w:val="20"/>
          <w:lang w:val="es-MX" w:eastAsia="zh-TW"/>
        </w:rPr>
        <w:t>an</w:t>
      </w:r>
      <w:r w:rsidRPr="00FC78FD">
        <w:rPr>
          <w:rFonts w:ascii="Arial" w:eastAsia="PMingLiU" w:hAnsi="Arial"/>
          <w:sz w:val="20"/>
          <w:szCs w:val="20"/>
          <w:lang w:val="es-MX" w:eastAsia="zh-TW"/>
        </w:rPr>
        <w:t>o plazo, si continúa la emigración de los trabajadores más jóvenes y especializados.</w:t>
      </w:r>
    </w:p>
    <w:p w:rsidR="00235422" w:rsidRDefault="00235422" w:rsidP="00FC78FD">
      <w:pPr>
        <w:suppressAutoHyphens/>
        <w:spacing w:line="270" w:lineRule="exact"/>
        <w:jc w:val="both"/>
        <w:rPr>
          <w:rFonts w:ascii="Arial" w:eastAsia="PMingLiU" w:hAnsi="Arial"/>
          <w:sz w:val="20"/>
          <w:szCs w:val="20"/>
          <w:lang w:val="es-MX" w:eastAsia="zh-TW"/>
        </w:rPr>
      </w:pPr>
    </w:p>
    <w:p w:rsidR="00565B59" w:rsidRPr="008D5D8A" w:rsidRDefault="008D5D8A" w:rsidP="00565B59">
      <w:pPr>
        <w:suppressAutoHyphens/>
        <w:spacing w:line="270" w:lineRule="exact"/>
        <w:jc w:val="both"/>
        <w:rPr>
          <w:rFonts w:ascii="Arial" w:eastAsia="PMingLiU" w:hAnsi="Arial"/>
          <w:b/>
          <w:sz w:val="20"/>
          <w:szCs w:val="20"/>
          <w:lang w:val="es-MX" w:eastAsia="zh-TW"/>
        </w:rPr>
      </w:pPr>
      <w:r w:rsidRPr="008D5D8A">
        <w:rPr>
          <w:rFonts w:ascii="Arial" w:eastAsia="PMingLiU" w:hAnsi="Arial"/>
          <w:b/>
          <w:sz w:val="20"/>
          <w:szCs w:val="20"/>
          <w:lang w:val="es-MX" w:eastAsia="zh-TW"/>
        </w:rPr>
        <w:t>Soluciones que se pueden implementar</w:t>
      </w:r>
    </w:p>
    <w:p w:rsidR="008D5D8A" w:rsidRPr="007A1747" w:rsidRDefault="008D5D8A" w:rsidP="00565B59">
      <w:pPr>
        <w:suppressAutoHyphens/>
        <w:spacing w:line="270" w:lineRule="exact"/>
        <w:jc w:val="both"/>
        <w:rPr>
          <w:rFonts w:ascii="Arial" w:eastAsia="PMingLiU" w:hAnsi="Arial"/>
          <w:sz w:val="20"/>
          <w:szCs w:val="20"/>
          <w:lang w:val="es-MX" w:eastAsia="zh-TW"/>
        </w:rPr>
      </w:pPr>
    </w:p>
    <w:p w:rsidR="008D5D8A" w:rsidRPr="008D5D8A" w:rsidRDefault="008D5D8A" w:rsidP="008D5D8A">
      <w:pPr>
        <w:suppressAutoHyphens/>
        <w:spacing w:line="270" w:lineRule="exact"/>
        <w:jc w:val="both"/>
        <w:rPr>
          <w:rFonts w:ascii="Arial" w:eastAsia="PMingLiU" w:hAnsi="Arial"/>
          <w:sz w:val="20"/>
          <w:szCs w:val="20"/>
          <w:lang w:val="es-MX" w:eastAsia="zh-TW"/>
        </w:rPr>
      </w:pPr>
      <w:r w:rsidRPr="008D5D8A">
        <w:rPr>
          <w:rFonts w:ascii="Arial" w:eastAsia="PMingLiU" w:hAnsi="Arial"/>
          <w:sz w:val="20"/>
          <w:szCs w:val="20"/>
          <w:lang w:val="es-MX" w:eastAsia="zh-TW"/>
        </w:rPr>
        <w:t>Las empresas continuarán haciendo frente a la escasez de mano de obra, sobre todo de trabajadores cualificados. Las recientes encuestas indican que entre los puestos más difíciles de cubrir en Europa Central y Oriental se encuentran los ingenieros y los conductores.</w:t>
      </w:r>
    </w:p>
    <w:p w:rsidR="008D5D8A" w:rsidRPr="008D5D8A" w:rsidRDefault="008D5D8A" w:rsidP="008D5D8A">
      <w:pPr>
        <w:suppressAutoHyphens/>
        <w:spacing w:line="270" w:lineRule="exact"/>
        <w:jc w:val="both"/>
        <w:rPr>
          <w:rFonts w:ascii="Arial" w:eastAsia="PMingLiU" w:hAnsi="Arial"/>
          <w:sz w:val="20"/>
          <w:szCs w:val="20"/>
          <w:lang w:val="es-MX" w:eastAsia="zh-TW"/>
        </w:rPr>
      </w:pPr>
    </w:p>
    <w:p w:rsidR="008D5D8A" w:rsidRPr="008D5D8A" w:rsidRDefault="008D5D8A" w:rsidP="008D5D8A">
      <w:pPr>
        <w:suppressAutoHyphens/>
        <w:spacing w:line="270" w:lineRule="exact"/>
        <w:jc w:val="both"/>
        <w:rPr>
          <w:rFonts w:ascii="Arial" w:eastAsia="PMingLiU" w:hAnsi="Arial"/>
          <w:sz w:val="20"/>
          <w:szCs w:val="20"/>
          <w:lang w:val="es-MX" w:eastAsia="zh-TW"/>
        </w:rPr>
      </w:pPr>
      <w:r w:rsidRPr="008D5D8A">
        <w:rPr>
          <w:rFonts w:ascii="Arial" w:eastAsia="PMingLiU" w:hAnsi="Arial"/>
          <w:sz w:val="20"/>
          <w:szCs w:val="20"/>
          <w:lang w:val="es-MX" w:eastAsia="zh-TW"/>
        </w:rPr>
        <w:t xml:space="preserve">Este déficit de mano de obra podría aliviarse animando a los emigrantes a regresar, así como con más inmigración. Esto requeriría mejorar la gobernabilidad y abordar la cuestión de las reticencias en materia de inmigración. No </w:t>
      </w:r>
      <w:r w:rsidRPr="008D5D8A">
        <w:rPr>
          <w:rFonts w:ascii="Arial" w:eastAsia="PMingLiU" w:hAnsi="Arial"/>
          <w:sz w:val="20"/>
          <w:szCs w:val="20"/>
          <w:lang w:val="es-MX" w:eastAsia="zh-TW"/>
        </w:rPr>
        <w:t>obstante</w:t>
      </w:r>
      <w:r w:rsidRPr="008D5D8A">
        <w:rPr>
          <w:rFonts w:ascii="Arial" w:eastAsia="PMingLiU" w:hAnsi="Arial"/>
          <w:sz w:val="20"/>
          <w:szCs w:val="20"/>
          <w:lang w:val="es-MX" w:eastAsia="zh-TW"/>
        </w:rPr>
        <w:t xml:space="preserve">, es muy poco probable que se produzca un retorno en masa de los emigrantes a sus países de origen. Aquellos afectados por el </w:t>
      </w:r>
      <w:proofErr w:type="spellStart"/>
      <w:r w:rsidRPr="008D5D8A">
        <w:rPr>
          <w:rFonts w:ascii="Arial" w:eastAsia="PMingLiU" w:hAnsi="Arial"/>
          <w:sz w:val="20"/>
          <w:szCs w:val="20"/>
          <w:lang w:val="es-MX" w:eastAsia="zh-TW"/>
        </w:rPr>
        <w:t>Brexit</w:t>
      </w:r>
      <w:proofErr w:type="spellEnd"/>
      <w:r w:rsidRPr="008D5D8A">
        <w:rPr>
          <w:rFonts w:ascii="Arial" w:eastAsia="PMingLiU" w:hAnsi="Arial"/>
          <w:sz w:val="20"/>
          <w:szCs w:val="20"/>
          <w:lang w:val="es-MX" w:eastAsia="zh-TW"/>
        </w:rPr>
        <w:t xml:space="preserve"> (o por situaciones similares) se verán más atraídos por la posibilidad de trabajar en otros países de Europa Occidental, dadas las significativas diferencias salariales.</w:t>
      </w:r>
    </w:p>
    <w:p w:rsidR="008D5D8A" w:rsidRPr="008D5D8A" w:rsidRDefault="008D5D8A" w:rsidP="008D5D8A">
      <w:pPr>
        <w:suppressAutoHyphens/>
        <w:spacing w:line="270" w:lineRule="exact"/>
        <w:jc w:val="both"/>
        <w:rPr>
          <w:rFonts w:ascii="Arial" w:eastAsia="PMingLiU" w:hAnsi="Arial"/>
          <w:sz w:val="20"/>
          <w:szCs w:val="20"/>
          <w:lang w:val="es-MX" w:eastAsia="zh-TW"/>
        </w:rPr>
      </w:pPr>
    </w:p>
    <w:p w:rsidR="008D5D8A" w:rsidRDefault="008D5D8A" w:rsidP="008D5D8A">
      <w:pPr>
        <w:suppressAutoHyphens/>
        <w:spacing w:line="270" w:lineRule="exact"/>
        <w:jc w:val="both"/>
        <w:rPr>
          <w:rFonts w:ascii="Arial" w:eastAsia="PMingLiU" w:hAnsi="Arial"/>
          <w:sz w:val="20"/>
          <w:szCs w:val="20"/>
          <w:lang w:val="es-MX" w:eastAsia="zh-TW"/>
        </w:rPr>
      </w:pPr>
      <w:r w:rsidRPr="008D5D8A">
        <w:rPr>
          <w:rFonts w:ascii="Arial" w:eastAsia="PMingLiU" w:hAnsi="Arial"/>
          <w:sz w:val="20"/>
          <w:szCs w:val="20"/>
          <w:lang w:val="es-MX" w:eastAsia="zh-TW"/>
        </w:rPr>
        <w:t>Promover la participación laboral de las minorías étnicas, las mujeres (cuya tasa de participación permanece baja respecto a Europa Occidental: 61% en Polonia, 59% en Hungría, 57% en Rumanía, en comparación con 79% en Suecia, 72% en Alemania y 71% en Austria) y a las personas mayores, así como impulsar los programas de formación vocacional y educación superior, podría contribuir también a reconducir la situación.</w:t>
      </w:r>
    </w:p>
    <w:p w:rsidR="008D5D8A" w:rsidRDefault="008D5D8A" w:rsidP="008D5D8A">
      <w:pPr>
        <w:suppressAutoHyphens/>
        <w:spacing w:line="270" w:lineRule="exact"/>
        <w:jc w:val="both"/>
        <w:rPr>
          <w:rFonts w:ascii="Arial" w:eastAsia="PMingLiU" w:hAnsi="Arial"/>
          <w:sz w:val="20"/>
          <w:szCs w:val="20"/>
          <w:lang w:val="es-MX" w:eastAsia="zh-TW"/>
        </w:rPr>
      </w:pPr>
    </w:p>
    <w:p w:rsidR="0000778B" w:rsidRDefault="0000778B" w:rsidP="00CE2447">
      <w:pPr>
        <w:tabs>
          <w:tab w:val="center" w:pos="4536"/>
          <w:tab w:val="right" w:pos="9072"/>
        </w:tabs>
        <w:suppressAutoHyphens/>
        <w:autoSpaceDE w:val="0"/>
        <w:autoSpaceDN w:val="0"/>
        <w:adjustRightInd w:val="0"/>
        <w:spacing w:line="270" w:lineRule="exact"/>
        <w:jc w:val="both"/>
        <w:rPr>
          <w:rFonts w:ascii="Arial" w:hAnsi="Arial" w:cs="Arial"/>
          <w:b/>
          <w:bCs/>
          <w:color w:val="000000"/>
          <w:sz w:val="18"/>
          <w:szCs w:val="18"/>
          <w:lang w:val="es-MX"/>
        </w:rPr>
      </w:pPr>
    </w:p>
    <w:p w:rsidR="0000778B" w:rsidRDefault="0000778B" w:rsidP="00CE2447">
      <w:pPr>
        <w:tabs>
          <w:tab w:val="center" w:pos="4536"/>
          <w:tab w:val="right" w:pos="9072"/>
        </w:tabs>
        <w:suppressAutoHyphens/>
        <w:autoSpaceDE w:val="0"/>
        <w:autoSpaceDN w:val="0"/>
        <w:adjustRightInd w:val="0"/>
        <w:spacing w:line="270" w:lineRule="exact"/>
        <w:jc w:val="both"/>
        <w:rPr>
          <w:rFonts w:ascii="Arial" w:hAnsi="Arial" w:cs="Arial"/>
          <w:b/>
          <w:bCs/>
          <w:color w:val="000000"/>
          <w:sz w:val="18"/>
          <w:szCs w:val="18"/>
          <w:lang w:val="es-MX"/>
        </w:rPr>
      </w:pPr>
    </w:p>
    <w:p w:rsidR="0000778B" w:rsidRDefault="0000778B" w:rsidP="00CE2447">
      <w:pPr>
        <w:tabs>
          <w:tab w:val="center" w:pos="4536"/>
          <w:tab w:val="right" w:pos="9072"/>
        </w:tabs>
        <w:suppressAutoHyphens/>
        <w:autoSpaceDE w:val="0"/>
        <w:autoSpaceDN w:val="0"/>
        <w:adjustRightInd w:val="0"/>
        <w:spacing w:line="270" w:lineRule="exact"/>
        <w:jc w:val="both"/>
        <w:rPr>
          <w:rFonts w:ascii="Arial" w:hAnsi="Arial" w:cs="Arial"/>
          <w:b/>
          <w:bCs/>
          <w:color w:val="000000"/>
          <w:sz w:val="18"/>
          <w:szCs w:val="18"/>
          <w:lang w:val="es-MX"/>
        </w:rPr>
      </w:pPr>
    </w:p>
    <w:tbl>
      <w:tblPr>
        <w:tblW w:w="8540" w:type="dxa"/>
        <w:tblLayout w:type="fixed"/>
        <w:tblCellMar>
          <w:left w:w="113" w:type="dxa"/>
          <w:right w:w="170" w:type="dxa"/>
        </w:tblCellMar>
        <w:tblLook w:val="00A0" w:firstRow="1" w:lastRow="0" w:firstColumn="1" w:lastColumn="0" w:noHBand="0" w:noVBand="0"/>
      </w:tblPr>
      <w:tblGrid>
        <w:gridCol w:w="8540"/>
      </w:tblGrid>
      <w:tr w:rsidR="00A33200" w:rsidRPr="000B4AFF" w:rsidTr="00BD0454">
        <w:trPr>
          <w:trHeight w:val="220"/>
        </w:trPr>
        <w:tc>
          <w:tcPr>
            <w:tcW w:w="8540" w:type="dxa"/>
            <w:shd w:val="clear" w:color="auto" w:fill="E9EDF4"/>
          </w:tcPr>
          <w:p w:rsidR="00A33200" w:rsidRDefault="00A33200" w:rsidP="00BD0454">
            <w:pPr>
              <w:spacing w:before="60" w:after="60" w:line="220" w:lineRule="atLeast"/>
              <w:ind w:right="113"/>
              <w:jc w:val="both"/>
              <w:rPr>
                <w:rFonts w:ascii="Arial" w:hAnsi="Arial"/>
                <w:b/>
                <w:bCs/>
                <w:sz w:val="18"/>
                <w:lang w:val="es-MX"/>
              </w:rPr>
            </w:pPr>
            <w:r>
              <w:rPr>
                <w:rFonts w:ascii="Arial" w:hAnsi="Arial"/>
                <w:b/>
                <w:bCs/>
                <w:sz w:val="18"/>
                <w:lang w:val="es-MX"/>
              </w:rPr>
              <w:t>Acerca de</w:t>
            </w:r>
            <w:r w:rsidRPr="002F682B">
              <w:rPr>
                <w:rFonts w:ascii="Arial" w:hAnsi="Arial"/>
                <w:b/>
                <w:bCs/>
                <w:sz w:val="18"/>
                <w:lang w:val="es-MX"/>
              </w:rPr>
              <w:t xml:space="preserve"> Coface</w:t>
            </w:r>
          </w:p>
          <w:p w:rsidR="00A33200" w:rsidRPr="002F682B" w:rsidRDefault="00A33200" w:rsidP="00BD0454">
            <w:pPr>
              <w:spacing w:before="60" w:after="60" w:line="220" w:lineRule="atLeast"/>
              <w:ind w:right="113"/>
              <w:jc w:val="both"/>
              <w:rPr>
                <w:rFonts w:ascii="Arial" w:hAnsi="Arial"/>
                <w:b/>
                <w:bCs/>
                <w:sz w:val="18"/>
                <w:lang w:val="es-MX"/>
              </w:rPr>
            </w:pPr>
          </w:p>
          <w:p w:rsidR="00A33200" w:rsidRDefault="00A33200" w:rsidP="00BD0454">
            <w:pPr>
              <w:pStyle w:val="Piedepgina"/>
              <w:spacing w:line="200" w:lineRule="exact"/>
              <w:ind w:left="101"/>
              <w:jc w:val="both"/>
              <w:rPr>
                <w:rFonts w:ascii="Arial" w:hAnsi="Arial" w:cs="Arial"/>
                <w:sz w:val="18"/>
                <w:szCs w:val="18"/>
                <w:lang w:val="es-MX"/>
              </w:rPr>
            </w:pPr>
            <w:r w:rsidRPr="0027028B">
              <w:rPr>
                <w:rFonts w:ascii="Arial" w:hAnsi="Arial" w:cs="Arial"/>
                <w:sz w:val="18"/>
                <w:szCs w:val="18"/>
                <w:lang w:val="es-MX"/>
              </w:rPr>
              <w:t xml:space="preserve">El Grupo Coface, líder mundial en seguro de crédito, ofrece a </w:t>
            </w:r>
            <w:r>
              <w:rPr>
                <w:rFonts w:ascii="Arial" w:hAnsi="Arial" w:cs="Arial"/>
                <w:sz w:val="18"/>
                <w:szCs w:val="18"/>
                <w:lang w:val="es-MX"/>
              </w:rPr>
              <w:t xml:space="preserve">50.000 </w:t>
            </w:r>
            <w:r w:rsidRPr="0027028B">
              <w:rPr>
                <w:rFonts w:ascii="Arial" w:hAnsi="Arial" w:cs="Arial"/>
                <w:sz w:val="18"/>
                <w:szCs w:val="18"/>
                <w:lang w:val="es-MX"/>
              </w:rPr>
              <w:t xml:space="preserve">empresas de todo el mundo soluciones para protegerlas contra el riesgo de impago de sus clientes, tanto en el mercado nacional como en exportación. </w:t>
            </w:r>
            <w:r w:rsidRPr="00231CF2">
              <w:rPr>
                <w:rFonts w:ascii="Arial" w:hAnsi="Arial" w:cs="Arial"/>
                <w:sz w:val="18"/>
                <w:szCs w:val="18"/>
                <w:lang w:val="es-MX"/>
              </w:rPr>
              <w:t>El Grupo, cuyo objetivo es ser la compañía de seguro de crédito más ágil del sector, cuenta</w:t>
            </w:r>
            <w:r>
              <w:rPr>
                <w:rFonts w:ascii="Arial" w:hAnsi="Arial" w:cs="Arial"/>
                <w:sz w:val="18"/>
                <w:szCs w:val="18"/>
                <w:lang w:val="es-MX"/>
              </w:rPr>
              <w:t xml:space="preserve"> con presencia en 100 países, 4.</w:t>
            </w:r>
            <w:r w:rsidRPr="00231CF2">
              <w:rPr>
                <w:rFonts w:ascii="Arial" w:hAnsi="Arial" w:cs="Arial"/>
                <w:sz w:val="18"/>
                <w:szCs w:val="18"/>
                <w:lang w:val="es-MX"/>
              </w:rPr>
              <w:t xml:space="preserve">300 </w:t>
            </w:r>
            <w:r>
              <w:rPr>
                <w:rFonts w:ascii="Arial" w:hAnsi="Arial" w:cs="Arial"/>
                <w:sz w:val="18"/>
                <w:szCs w:val="18"/>
                <w:lang w:val="es-MX"/>
              </w:rPr>
              <w:t>empleados</w:t>
            </w:r>
            <w:r w:rsidRPr="00231CF2">
              <w:rPr>
                <w:rFonts w:ascii="Arial" w:hAnsi="Arial" w:cs="Arial"/>
                <w:sz w:val="18"/>
                <w:szCs w:val="18"/>
                <w:lang w:val="es-MX"/>
              </w:rPr>
              <w:t xml:space="preserve"> y obtuvo una cif</w:t>
            </w:r>
            <w:r>
              <w:rPr>
                <w:rFonts w:ascii="Arial" w:hAnsi="Arial" w:cs="Arial"/>
                <w:sz w:val="18"/>
                <w:szCs w:val="18"/>
                <w:lang w:val="es-MX"/>
              </w:rPr>
              <w:t>ra de negocios consolidada de 1.</w:t>
            </w:r>
            <w:r w:rsidRPr="00231CF2">
              <w:rPr>
                <w:rFonts w:ascii="Arial" w:hAnsi="Arial" w:cs="Arial"/>
                <w:sz w:val="18"/>
                <w:szCs w:val="18"/>
                <w:lang w:val="es-MX"/>
              </w:rPr>
              <w:t>411 millones de</w:t>
            </w:r>
            <w:r>
              <w:rPr>
                <w:rFonts w:ascii="Arial" w:hAnsi="Arial" w:cs="Arial"/>
                <w:sz w:val="18"/>
                <w:szCs w:val="18"/>
                <w:lang w:val="es-MX"/>
              </w:rPr>
              <w:t xml:space="preserve"> euros en 2016. Cada trimestre, </w:t>
            </w:r>
            <w:r w:rsidRPr="00231CF2">
              <w:rPr>
                <w:rFonts w:ascii="Arial" w:hAnsi="Arial" w:cs="Arial"/>
                <w:sz w:val="18"/>
                <w:szCs w:val="18"/>
                <w:lang w:val="es-MX"/>
              </w:rPr>
              <w:t>Coface publica sus evaluaciones de riesgo país y de riesgo sectorial, basadas en su conocimiento único del comportamiento de pago de las empresas y la experiencia de sus 660 analistas de riesgos, situados cerca de nuestros clientes y sus deudores.</w:t>
            </w:r>
          </w:p>
          <w:p w:rsidR="00A33200" w:rsidRPr="000A6A92" w:rsidRDefault="00A33200" w:rsidP="00BD0454">
            <w:pPr>
              <w:pStyle w:val="Piedepgina"/>
              <w:spacing w:line="200" w:lineRule="exact"/>
              <w:ind w:left="101"/>
              <w:jc w:val="both"/>
              <w:rPr>
                <w:rFonts w:ascii="Arial" w:hAnsi="Arial" w:cs="Arial"/>
                <w:sz w:val="18"/>
                <w:szCs w:val="18"/>
                <w:lang w:val="es-MX"/>
              </w:rPr>
            </w:pPr>
          </w:p>
          <w:p w:rsidR="00A33200" w:rsidRDefault="00A33200" w:rsidP="00BD0454">
            <w:pPr>
              <w:pStyle w:val="Piedepgina"/>
              <w:spacing w:line="200" w:lineRule="exact"/>
              <w:ind w:left="101"/>
              <w:jc w:val="both"/>
              <w:rPr>
                <w:rFonts w:ascii="Arial" w:hAnsi="Arial" w:cs="Arial"/>
                <w:sz w:val="18"/>
                <w:szCs w:val="18"/>
                <w:lang w:val="es-ES_tradnl"/>
              </w:rPr>
            </w:pPr>
            <w:r w:rsidRPr="002B6B7F">
              <w:rPr>
                <w:rFonts w:ascii="Arial" w:hAnsi="Arial" w:cs="Arial"/>
                <w:sz w:val="18"/>
                <w:szCs w:val="18"/>
                <w:lang w:val="es-ES_tradnl"/>
              </w:rPr>
              <w:t>Desde hace 1</w:t>
            </w:r>
            <w:r>
              <w:rPr>
                <w:rFonts w:ascii="Arial" w:hAnsi="Arial" w:cs="Arial"/>
                <w:sz w:val="18"/>
                <w:szCs w:val="18"/>
                <w:lang w:val="es-ES_tradnl"/>
              </w:rPr>
              <w:t>8</w:t>
            </w:r>
            <w:r w:rsidRPr="002B6B7F">
              <w:rPr>
                <w:rFonts w:ascii="Arial" w:hAnsi="Arial" w:cs="Arial"/>
                <w:sz w:val="18"/>
                <w:szCs w:val="18"/>
                <w:lang w:val="es-ES_tradnl"/>
              </w:rPr>
              <w:t xml:space="preserve"> años Coface está presente en la Argentina, brindando a las empresas locales las mismas protecciones y servicios con las que cuentan sus competidores en el mundo entero. Es N°1 en seguro de crédito en Argentina y en Latinoamérica.</w:t>
            </w:r>
          </w:p>
          <w:p w:rsidR="00A33200" w:rsidRPr="002B6B7F" w:rsidRDefault="00A33200" w:rsidP="00BD0454">
            <w:pPr>
              <w:pStyle w:val="Piedepgina"/>
              <w:spacing w:line="200" w:lineRule="exact"/>
              <w:ind w:left="101"/>
              <w:jc w:val="both"/>
              <w:rPr>
                <w:rFonts w:ascii="Arial" w:hAnsi="Arial" w:cs="Arial"/>
                <w:sz w:val="18"/>
                <w:szCs w:val="18"/>
                <w:lang w:val="es-ES_tradnl"/>
              </w:rPr>
            </w:pPr>
          </w:p>
          <w:p w:rsidR="00A33200" w:rsidRPr="00C27FD6" w:rsidRDefault="008D5D8A" w:rsidP="00BD0454">
            <w:pPr>
              <w:pStyle w:val="Piedepgina"/>
              <w:spacing w:line="200" w:lineRule="exact"/>
              <w:ind w:left="101"/>
              <w:jc w:val="center"/>
              <w:rPr>
                <w:rFonts w:ascii="Arial" w:hAnsi="Arial" w:cs="Arial"/>
                <w:color w:val="0000FF"/>
                <w:sz w:val="20"/>
                <w:szCs w:val="20"/>
                <w:u w:val="single"/>
                <w:lang w:val="es-AR"/>
              </w:rPr>
            </w:pPr>
            <w:hyperlink r:id="rId9" w:history="1">
              <w:r w:rsidR="00A33200" w:rsidRPr="00C27FD6">
                <w:rPr>
                  <w:rStyle w:val="Hipervnculo"/>
                  <w:rFonts w:ascii="Arial" w:hAnsi="Arial" w:cs="Arial"/>
                  <w:sz w:val="20"/>
                  <w:szCs w:val="20"/>
                  <w:lang w:val="es-AR"/>
                </w:rPr>
                <w:t>www.coface.com</w:t>
              </w:r>
            </w:hyperlink>
          </w:p>
          <w:p w:rsidR="00A33200" w:rsidRPr="00C27FD6" w:rsidRDefault="00A33200" w:rsidP="00BD0454">
            <w:pPr>
              <w:pStyle w:val="Piedepgina"/>
              <w:spacing w:line="200" w:lineRule="exact"/>
              <w:ind w:left="101"/>
              <w:jc w:val="center"/>
              <w:rPr>
                <w:rFonts w:ascii="Arial" w:hAnsi="Arial" w:cs="Arial"/>
                <w:color w:val="0000FF"/>
                <w:sz w:val="20"/>
                <w:szCs w:val="20"/>
                <w:u w:val="single"/>
                <w:lang w:val="es-AR"/>
              </w:rPr>
            </w:pPr>
          </w:p>
          <w:p w:rsidR="00A33200" w:rsidRPr="00C27FD6" w:rsidRDefault="00A33200" w:rsidP="00BD0454">
            <w:pPr>
              <w:pStyle w:val="Piedepgina"/>
              <w:spacing w:line="200" w:lineRule="exact"/>
              <w:ind w:left="101"/>
              <w:jc w:val="center"/>
              <w:rPr>
                <w:rFonts w:ascii="Arial" w:hAnsi="Arial" w:cs="Arial"/>
                <w:color w:val="0000FF"/>
                <w:sz w:val="20"/>
                <w:szCs w:val="20"/>
                <w:u w:val="single"/>
                <w:lang w:val="es-AR"/>
              </w:rPr>
            </w:pPr>
            <w:r>
              <w:rPr>
                <w:rFonts w:ascii="Arial" w:hAnsi="Arial" w:cs="Arial"/>
                <w:noProof/>
                <w:color w:val="0000FF"/>
                <w:sz w:val="20"/>
                <w:szCs w:val="20"/>
                <w:u w:val="single"/>
                <w:lang w:val="es-AR" w:eastAsia="es-AR"/>
              </w:rPr>
              <w:drawing>
                <wp:anchor distT="0" distB="0" distL="114300" distR="114300" simplePos="0" relativeHeight="251701248" behindDoc="0" locked="0" layoutInCell="1" allowOverlap="1" wp14:anchorId="7ECB3E1C" wp14:editId="561AB65A">
                  <wp:simplePos x="0" y="0"/>
                  <wp:positionH relativeFrom="column">
                    <wp:posOffset>4458970</wp:posOffset>
                  </wp:positionH>
                  <wp:positionV relativeFrom="paragraph">
                    <wp:posOffset>52070</wp:posOffset>
                  </wp:positionV>
                  <wp:extent cx="535305" cy="509270"/>
                  <wp:effectExtent l="0" t="0" r="0" b="5080"/>
                  <wp:wrapNone/>
                  <wp:docPr id="11" name="Imagen 11"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200" w:rsidRPr="00686AAE" w:rsidRDefault="00A33200" w:rsidP="00BD0454">
            <w:pPr>
              <w:spacing w:before="60" w:after="60" w:line="220" w:lineRule="atLeast"/>
              <w:ind w:left="113" w:right="113"/>
              <w:jc w:val="both"/>
              <w:rPr>
                <w:rFonts w:ascii="Arial" w:hAnsi="Arial" w:cs="Arial"/>
                <w:b/>
                <w:sz w:val="18"/>
                <w:szCs w:val="18"/>
                <w:lang w:val="es-ES"/>
              </w:rPr>
            </w:pPr>
            <w:r w:rsidRPr="00686AAE">
              <w:rPr>
                <w:rFonts w:ascii="Arial" w:hAnsi="Arial" w:cs="Arial"/>
                <w:sz w:val="18"/>
                <w:szCs w:val="18"/>
                <w:lang w:val="es-ES" w:eastAsia="es-ES"/>
              </w:rPr>
              <w:t xml:space="preserve">             </w:t>
            </w:r>
            <w:r>
              <w:rPr>
                <w:rFonts w:ascii="Arial" w:hAnsi="Arial" w:cs="Arial"/>
                <w:sz w:val="18"/>
                <w:szCs w:val="18"/>
                <w:lang w:val="es-ES" w:eastAsia="es-ES"/>
              </w:rPr>
              <w:t xml:space="preserve">             </w:t>
            </w:r>
            <w:r w:rsidRPr="00686AAE">
              <w:rPr>
                <w:rFonts w:ascii="Arial" w:hAnsi="Arial" w:cs="Arial"/>
                <w:sz w:val="18"/>
                <w:szCs w:val="18"/>
                <w:lang w:val="es-ES" w:eastAsia="es-ES"/>
              </w:rPr>
              <w:t xml:space="preserve">Coface SA cotiza en la bolsa de París </w:t>
            </w:r>
            <w:proofErr w:type="spellStart"/>
            <w:r w:rsidRPr="00686AAE">
              <w:rPr>
                <w:rFonts w:ascii="Arial" w:hAnsi="Arial" w:cs="Arial"/>
                <w:sz w:val="18"/>
                <w:szCs w:val="18"/>
                <w:lang w:val="es-ES" w:eastAsia="es-ES"/>
              </w:rPr>
              <w:t>Euronext</w:t>
            </w:r>
            <w:proofErr w:type="spellEnd"/>
            <w:r w:rsidRPr="00686AAE">
              <w:rPr>
                <w:rFonts w:ascii="Arial" w:hAnsi="Arial" w:cs="Arial"/>
                <w:sz w:val="18"/>
                <w:szCs w:val="18"/>
                <w:lang w:val="es-ES" w:eastAsia="es-ES"/>
              </w:rPr>
              <w:t xml:space="preserve"> – </w:t>
            </w:r>
            <w:proofErr w:type="spellStart"/>
            <w:r w:rsidRPr="00686AAE">
              <w:rPr>
                <w:rFonts w:ascii="Arial" w:hAnsi="Arial" w:cs="Arial"/>
                <w:sz w:val="18"/>
                <w:szCs w:val="18"/>
                <w:lang w:val="es-ES" w:eastAsia="es-ES"/>
              </w:rPr>
              <w:t>Compartment</w:t>
            </w:r>
            <w:proofErr w:type="spellEnd"/>
            <w:r w:rsidRPr="00686AAE">
              <w:rPr>
                <w:rFonts w:ascii="Arial" w:hAnsi="Arial" w:cs="Arial"/>
                <w:sz w:val="18"/>
                <w:szCs w:val="18"/>
                <w:lang w:val="es-ES" w:eastAsia="es-ES"/>
              </w:rPr>
              <w:t xml:space="preserve"> </w:t>
            </w:r>
            <w:r>
              <w:rPr>
                <w:rFonts w:ascii="Arial" w:hAnsi="Arial" w:cs="Arial"/>
                <w:sz w:val="18"/>
                <w:szCs w:val="18"/>
                <w:lang w:val="es-ES" w:eastAsia="es-ES"/>
              </w:rPr>
              <w:t>B</w:t>
            </w:r>
            <w:r w:rsidRPr="00686AAE">
              <w:rPr>
                <w:rFonts w:ascii="Arial" w:hAnsi="Arial" w:cs="Arial"/>
                <w:b/>
                <w:sz w:val="18"/>
                <w:szCs w:val="18"/>
                <w:lang w:val="es-ES"/>
              </w:rPr>
              <w:t xml:space="preserve"> </w:t>
            </w:r>
          </w:p>
          <w:p w:rsidR="00A33200" w:rsidRPr="00686AAE" w:rsidRDefault="00A33200" w:rsidP="00BD0454">
            <w:pPr>
              <w:tabs>
                <w:tab w:val="left" w:pos="8202"/>
              </w:tabs>
              <w:autoSpaceDE w:val="0"/>
              <w:autoSpaceDN w:val="0"/>
              <w:adjustRightInd w:val="0"/>
              <w:spacing w:line="240" w:lineRule="atLeast"/>
              <w:ind w:left="348" w:right="1587"/>
              <w:jc w:val="right"/>
              <w:rPr>
                <w:rFonts w:ascii="Arial" w:hAnsi="Arial" w:cs="Arial"/>
                <w:sz w:val="18"/>
                <w:szCs w:val="18"/>
              </w:rPr>
            </w:pPr>
            <w:r w:rsidRPr="00686AAE">
              <w:rPr>
                <w:rFonts w:ascii="Arial" w:hAnsi="Arial" w:cs="Arial"/>
                <w:sz w:val="18"/>
                <w:szCs w:val="18"/>
              </w:rPr>
              <w:t>ISIN: FR0010667147 / Ticker: COFA</w:t>
            </w:r>
          </w:p>
          <w:p w:rsidR="00A33200" w:rsidRDefault="00A33200" w:rsidP="00BD0454">
            <w:pPr>
              <w:pStyle w:val="Piedepgina"/>
              <w:spacing w:line="200" w:lineRule="exact"/>
              <w:ind w:left="101"/>
              <w:jc w:val="center"/>
              <w:rPr>
                <w:rFonts w:ascii="Arial" w:hAnsi="Arial" w:cs="Arial"/>
                <w:color w:val="0000FF"/>
                <w:sz w:val="20"/>
                <w:szCs w:val="20"/>
                <w:u w:val="single"/>
              </w:rPr>
            </w:pPr>
          </w:p>
          <w:p w:rsidR="00A33200" w:rsidRPr="000B4AFF" w:rsidRDefault="00A33200" w:rsidP="00BD0454">
            <w:pPr>
              <w:pStyle w:val="textecontact"/>
              <w:spacing w:before="60" w:after="60" w:line="240" w:lineRule="atLeast"/>
              <w:ind w:right="113"/>
              <w:jc w:val="center"/>
              <w:rPr>
                <w:rFonts w:ascii="Arial" w:hAnsi="Arial" w:cs="Arial"/>
                <w:sz w:val="20"/>
                <w:szCs w:val="20"/>
                <w:u w:val="single"/>
                <w:lang w:val="es-MX"/>
              </w:rPr>
            </w:pPr>
          </w:p>
        </w:tc>
      </w:tr>
    </w:tbl>
    <w:p w:rsidR="00762F4E" w:rsidRDefault="00762F4E" w:rsidP="008D5D8A">
      <w:pPr>
        <w:tabs>
          <w:tab w:val="center" w:pos="4536"/>
          <w:tab w:val="right" w:pos="9072"/>
        </w:tabs>
        <w:suppressAutoHyphens/>
        <w:autoSpaceDE w:val="0"/>
        <w:autoSpaceDN w:val="0"/>
        <w:adjustRightInd w:val="0"/>
        <w:spacing w:line="270" w:lineRule="exact"/>
        <w:jc w:val="both"/>
        <w:rPr>
          <w:rFonts w:ascii="Arial" w:hAnsi="Arial"/>
          <w:b/>
          <w:sz w:val="20"/>
          <w:szCs w:val="20"/>
          <w:u w:val="single"/>
          <w:lang w:eastAsia="zh-TW"/>
        </w:rPr>
      </w:pPr>
    </w:p>
    <w:sectPr w:rsidR="00762F4E" w:rsidSect="00235422">
      <w:headerReference w:type="default" r:id="rId11"/>
      <w:footnotePr>
        <w:pos w:val="beneathText"/>
      </w:footnotePr>
      <w:pgSz w:w="11907" w:h="16839" w:code="9"/>
      <w:pgMar w:top="1417" w:right="1701" w:bottom="1417" w:left="1701" w:header="3062"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5A" w:rsidRDefault="00D8185A">
      <w:r>
        <w:separator/>
      </w:r>
    </w:p>
  </w:endnote>
  <w:endnote w:type="continuationSeparator" w:id="0">
    <w:p w:rsidR="00D8185A" w:rsidRDefault="00D8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ITCLegacySansLTBookRegular">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5A" w:rsidRDefault="00D8185A">
      <w:r>
        <w:separator/>
      </w:r>
    </w:p>
  </w:footnote>
  <w:footnote w:type="continuationSeparator" w:id="0">
    <w:p w:rsidR="00D8185A" w:rsidRDefault="00D8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97" w:rsidRDefault="00FE3F97">
    <w:pPr>
      <w:pStyle w:val="Encabezado"/>
      <w:rPr>
        <w:lang w:val="en-US"/>
      </w:rPr>
    </w:pPr>
    <w:r>
      <w:rPr>
        <w:noProof/>
        <w:lang w:val="es-AR" w:eastAsia="es-AR"/>
      </w:rPr>
      <w:drawing>
        <wp:anchor distT="0" distB="0" distL="114935" distR="114935" simplePos="0" relativeHeight="251657216" behindDoc="1" locked="0" layoutInCell="1" allowOverlap="1" wp14:anchorId="0EDDE97C" wp14:editId="7252F649">
          <wp:simplePos x="0" y="0"/>
          <wp:positionH relativeFrom="column">
            <wp:posOffset>-458470</wp:posOffset>
          </wp:positionH>
          <wp:positionV relativeFrom="page">
            <wp:posOffset>585470</wp:posOffset>
          </wp:positionV>
          <wp:extent cx="5761990" cy="131572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315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8240" behindDoc="1" locked="0" layoutInCell="1" allowOverlap="1" wp14:anchorId="73BF5038" wp14:editId="0D755E5F">
              <wp:simplePos x="0" y="0"/>
              <wp:positionH relativeFrom="page">
                <wp:posOffset>107950</wp:posOffset>
              </wp:positionH>
              <wp:positionV relativeFrom="page">
                <wp:posOffset>3564255</wp:posOffset>
              </wp:positionV>
              <wp:extent cx="107950" cy="0"/>
              <wp:effectExtent l="12700" t="11430" r="12700" b="7620"/>
              <wp:wrapNone/>
              <wp:docPr id="3"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" strokecolor="#17274b" strokeweight=".11mm">
              <v:stroke joinstyle="miter"/>
              <w10:wrap anchorx="page" anchory="page"/>
            </v:line>
          </w:pict>
        </mc:Fallback>
      </mc:AlternateContent>
    </w:r>
    <w:r>
      <w:rPr>
        <w:noProof/>
        <w:lang w:val="es-AR" w:eastAsia="es-AR"/>
      </w:rPr>
      <mc:AlternateContent>
        <mc:Choice Requires="wps">
          <w:drawing>
            <wp:anchor distT="0" distB="0" distL="114935" distR="114935" simplePos="0" relativeHeight="251659264" behindDoc="1" locked="0" layoutInCell="1" allowOverlap="1" wp14:anchorId="6AB216E2" wp14:editId="4D24DB08">
              <wp:simplePos x="0" y="0"/>
              <wp:positionH relativeFrom="column">
                <wp:posOffset>-1270</wp:posOffset>
              </wp:positionH>
              <wp:positionV relativeFrom="page">
                <wp:posOffset>1427480</wp:posOffset>
              </wp:positionV>
              <wp:extent cx="5755005" cy="330200"/>
              <wp:effectExtent l="8255" t="8255" r="889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F97" w:rsidRPr="00EA4A78" w:rsidRDefault="00FE3F97" w:rsidP="005B556F">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pt;margin-top:112.4pt;width:453.15pt;height:2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" stroked="f">
              <v:fill opacity="0"/>
              <v:textbox inset="0,0,0,0">
                <w:txbxContent>
                  <w:p w:rsidR="00FE3F97" w:rsidRPr="00EA4A78" w:rsidRDefault="00FE3F97" w:rsidP="005B556F">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RELEASE</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5"/>
    <w:lvl w:ilvl="0">
      <w:start w:val="1"/>
      <w:numFmt w:val="bullet"/>
      <w:lvlText w:val=""/>
      <w:lvlJc w:val="left"/>
      <w:pPr>
        <w:tabs>
          <w:tab w:val="num" w:pos="792"/>
        </w:tabs>
        <w:ind w:left="792" w:hanging="360"/>
      </w:pPr>
      <w:rPr>
        <w:rFonts w:ascii="Symbol" w:hAnsi="Symbol"/>
        <w:color w:val="auto"/>
        <w:w w:val="100"/>
      </w:rPr>
    </w:lvl>
  </w:abstractNum>
  <w:abstractNum w:abstractNumId="2">
    <w:nsid w:val="00000003"/>
    <w:multiLevelType w:val="multilevel"/>
    <w:tmpl w:val="00000003"/>
    <w:name w:val="WW8Num9"/>
    <w:lvl w:ilvl="0">
      <w:start w:val="1"/>
      <w:numFmt w:val="bullet"/>
      <w:lvlText w:val=""/>
      <w:lvlJc w:val="left"/>
      <w:pPr>
        <w:tabs>
          <w:tab w:val="num" w:pos="2340"/>
        </w:tabs>
        <w:ind w:left="2340" w:hanging="360"/>
      </w:pPr>
      <w:rPr>
        <w:rFonts w:ascii="Symbol" w:hAnsi="Symbol"/>
        <w:color w:val="000080"/>
      </w:rPr>
    </w:lvl>
    <w:lvl w:ilvl="1">
      <w:start w:val="1"/>
      <w:numFmt w:val="bullet"/>
      <w:lvlText w:val=""/>
      <w:lvlJc w:val="left"/>
      <w:pPr>
        <w:tabs>
          <w:tab w:val="num" w:pos="1440"/>
        </w:tabs>
        <w:ind w:left="1440" w:hanging="360"/>
      </w:pPr>
      <w:rPr>
        <w:rFonts w:ascii="Wingdings" w:hAnsi="Wingdings"/>
        <w:color w:val="auto"/>
      </w:rPr>
    </w:lvl>
    <w:lvl w:ilvl="2">
      <w:numFmt w:val="bullet"/>
      <w:lvlText w:val="-"/>
      <w:lvlJc w:val="left"/>
      <w:pPr>
        <w:tabs>
          <w:tab w:val="num" w:pos="2505"/>
        </w:tabs>
        <w:ind w:left="2505" w:hanging="705"/>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2702F9"/>
    <w:multiLevelType w:val="hybridMultilevel"/>
    <w:tmpl w:val="89342EEA"/>
    <w:lvl w:ilvl="0" w:tplc="687862F4">
      <w:numFmt w:val="bullet"/>
      <w:lvlText w:val="-"/>
      <w:lvlJc w:val="left"/>
      <w:pPr>
        <w:ind w:left="720" w:hanging="360"/>
      </w:pPr>
      <w:rPr>
        <w:rFonts w:ascii="Arial" w:eastAsia="MS Mincho" w:hAnsi="Arial" w:hint="default"/>
        <w:b/>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40B10B6"/>
    <w:multiLevelType w:val="hybridMultilevel"/>
    <w:tmpl w:val="6672AC02"/>
    <w:lvl w:ilvl="0" w:tplc="655A9F04">
      <w:start w:val="67"/>
      <w:numFmt w:val="bullet"/>
      <w:lvlText w:val=""/>
      <w:lvlJc w:val="left"/>
      <w:pPr>
        <w:ind w:left="720" w:hanging="360"/>
      </w:pPr>
      <w:rPr>
        <w:rFonts w:ascii="Symbol" w:eastAsia="MS PGothic" w:hAnsi="Symbol" w:cs="Arial" w:hint="default"/>
        <w:color w:val="CD03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C6"/>
    <w:rsid w:val="0000050B"/>
    <w:rsid w:val="0000564F"/>
    <w:rsid w:val="00006615"/>
    <w:rsid w:val="0000717D"/>
    <w:rsid w:val="0000778B"/>
    <w:rsid w:val="00016544"/>
    <w:rsid w:val="00016FE2"/>
    <w:rsid w:val="00020C9A"/>
    <w:rsid w:val="00026839"/>
    <w:rsid w:val="00027792"/>
    <w:rsid w:val="00032080"/>
    <w:rsid w:val="00033AD5"/>
    <w:rsid w:val="00040B92"/>
    <w:rsid w:val="000430D5"/>
    <w:rsid w:val="000442C3"/>
    <w:rsid w:val="00053DA3"/>
    <w:rsid w:val="00053E30"/>
    <w:rsid w:val="00054911"/>
    <w:rsid w:val="00055B13"/>
    <w:rsid w:val="00061E06"/>
    <w:rsid w:val="000667E0"/>
    <w:rsid w:val="000743C3"/>
    <w:rsid w:val="000A223A"/>
    <w:rsid w:val="000A38BF"/>
    <w:rsid w:val="000A411C"/>
    <w:rsid w:val="000B3975"/>
    <w:rsid w:val="000B66AA"/>
    <w:rsid w:val="000B7CCE"/>
    <w:rsid w:val="000C29B0"/>
    <w:rsid w:val="000E5B10"/>
    <w:rsid w:val="000E7C84"/>
    <w:rsid w:val="000F18EC"/>
    <w:rsid w:val="000F564C"/>
    <w:rsid w:val="001058F8"/>
    <w:rsid w:val="0012082B"/>
    <w:rsid w:val="001279E8"/>
    <w:rsid w:val="00127BA6"/>
    <w:rsid w:val="00136FFA"/>
    <w:rsid w:val="00146FD3"/>
    <w:rsid w:val="00151D8A"/>
    <w:rsid w:val="00152CCF"/>
    <w:rsid w:val="00162042"/>
    <w:rsid w:val="00162E24"/>
    <w:rsid w:val="00163178"/>
    <w:rsid w:val="001631BA"/>
    <w:rsid w:val="001634BD"/>
    <w:rsid w:val="00170D2E"/>
    <w:rsid w:val="00172AFE"/>
    <w:rsid w:val="00172E54"/>
    <w:rsid w:val="001808CC"/>
    <w:rsid w:val="00181BC3"/>
    <w:rsid w:val="001963A8"/>
    <w:rsid w:val="001A07F8"/>
    <w:rsid w:val="001A1266"/>
    <w:rsid w:val="001A5543"/>
    <w:rsid w:val="001A55F0"/>
    <w:rsid w:val="001B59F4"/>
    <w:rsid w:val="001C0746"/>
    <w:rsid w:val="001C0EF0"/>
    <w:rsid w:val="001C2021"/>
    <w:rsid w:val="001C682E"/>
    <w:rsid w:val="001D7AE8"/>
    <w:rsid w:val="001E5666"/>
    <w:rsid w:val="001F4864"/>
    <w:rsid w:val="002005FA"/>
    <w:rsid w:val="00200668"/>
    <w:rsid w:val="00201BC9"/>
    <w:rsid w:val="002070BC"/>
    <w:rsid w:val="00214427"/>
    <w:rsid w:val="002164AA"/>
    <w:rsid w:val="00216D04"/>
    <w:rsid w:val="00216F4B"/>
    <w:rsid w:val="00231CA4"/>
    <w:rsid w:val="00233B85"/>
    <w:rsid w:val="00233C6D"/>
    <w:rsid w:val="00235422"/>
    <w:rsid w:val="00241E39"/>
    <w:rsid w:val="00245ACC"/>
    <w:rsid w:val="00245D0A"/>
    <w:rsid w:val="00250F54"/>
    <w:rsid w:val="0025444F"/>
    <w:rsid w:val="00255AD4"/>
    <w:rsid w:val="00261E7B"/>
    <w:rsid w:val="002630FB"/>
    <w:rsid w:val="00266412"/>
    <w:rsid w:val="00266B61"/>
    <w:rsid w:val="00270059"/>
    <w:rsid w:val="00275C38"/>
    <w:rsid w:val="00275C6C"/>
    <w:rsid w:val="00276384"/>
    <w:rsid w:val="0028078F"/>
    <w:rsid w:val="00280FC4"/>
    <w:rsid w:val="00292DCC"/>
    <w:rsid w:val="0029471C"/>
    <w:rsid w:val="002A2D6A"/>
    <w:rsid w:val="002B15E4"/>
    <w:rsid w:val="002B17DD"/>
    <w:rsid w:val="002B212B"/>
    <w:rsid w:val="002B2262"/>
    <w:rsid w:val="002C4417"/>
    <w:rsid w:val="002C69BD"/>
    <w:rsid w:val="002D13E4"/>
    <w:rsid w:val="002D1428"/>
    <w:rsid w:val="002E04D8"/>
    <w:rsid w:val="002E1694"/>
    <w:rsid w:val="002E61C4"/>
    <w:rsid w:val="002F467E"/>
    <w:rsid w:val="00302F8D"/>
    <w:rsid w:val="003034D4"/>
    <w:rsid w:val="00303BFE"/>
    <w:rsid w:val="0030656C"/>
    <w:rsid w:val="00307582"/>
    <w:rsid w:val="003127AC"/>
    <w:rsid w:val="003148B3"/>
    <w:rsid w:val="00314E35"/>
    <w:rsid w:val="003276BF"/>
    <w:rsid w:val="003323B6"/>
    <w:rsid w:val="003330B7"/>
    <w:rsid w:val="00336460"/>
    <w:rsid w:val="00336A98"/>
    <w:rsid w:val="003422FE"/>
    <w:rsid w:val="0034247B"/>
    <w:rsid w:val="00344F16"/>
    <w:rsid w:val="00356CD2"/>
    <w:rsid w:val="003575E9"/>
    <w:rsid w:val="00357EA3"/>
    <w:rsid w:val="00370E92"/>
    <w:rsid w:val="003713F6"/>
    <w:rsid w:val="0037423D"/>
    <w:rsid w:val="00374AC2"/>
    <w:rsid w:val="003814B5"/>
    <w:rsid w:val="00381BC6"/>
    <w:rsid w:val="0039347F"/>
    <w:rsid w:val="00393952"/>
    <w:rsid w:val="003A796C"/>
    <w:rsid w:val="003B63AF"/>
    <w:rsid w:val="003C0E45"/>
    <w:rsid w:val="003C73E9"/>
    <w:rsid w:val="003F0327"/>
    <w:rsid w:val="003F0D93"/>
    <w:rsid w:val="003F20F4"/>
    <w:rsid w:val="003F36A4"/>
    <w:rsid w:val="00403C6D"/>
    <w:rsid w:val="00404D39"/>
    <w:rsid w:val="00404F0B"/>
    <w:rsid w:val="0041112E"/>
    <w:rsid w:val="00411B70"/>
    <w:rsid w:val="00415253"/>
    <w:rsid w:val="0042326D"/>
    <w:rsid w:val="0043140C"/>
    <w:rsid w:val="0044513B"/>
    <w:rsid w:val="00452A8C"/>
    <w:rsid w:val="004554D9"/>
    <w:rsid w:val="00462C7D"/>
    <w:rsid w:val="0046733D"/>
    <w:rsid w:val="00467E11"/>
    <w:rsid w:val="00480586"/>
    <w:rsid w:val="00484726"/>
    <w:rsid w:val="00496B20"/>
    <w:rsid w:val="004A05F3"/>
    <w:rsid w:val="004A6D34"/>
    <w:rsid w:val="004B08AB"/>
    <w:rsid w:val="004B2EBD"/>
    <w:rsid w:val="004B4693"/>
    <w:rsid w:val="004D00CB"/>
    <w:rsid w:val="004D01A1"/>
    <w:rsid w:val="004D46E1"/>
    <w:rsid w:val="004E096D"/>
    <w:rsid w:val="004E28BC"/>
    <w:rsid w:val="004E7521"/>
    <w:rsid w:val="004F19A8"/>
    <w:rsid w:val="005017F4"/>
    <w:rsid w:val="00503E54"/>
    <w:rsid w:val="00506F38"/>
    <w:rsid w:val="0051121F"/>
    <w:rsid w:val="005166B9"/>
    <w:rsid w:val="0052671D"/>
    <w:rsid w:val="00527B89"/>
    <w:rsid w:val="00533DA6"/>
    <w:rsid w:val="00534F40"/>
    <w:rsid w:val="00537C1C"/>
    <w:rsid w:val="00545A77"/>
    <w:rsid w:val="00545F4A"/>
    <w:rsid w:val="005505B4"/>
    <w:rsid w:val="005513DA"/>
    <w:rsid w:val="00556F44"/>
    <w:rsid w:val="0056018A"/>
    <w:rsid w:val="00562C57"/>
    <w:rsid w:val="00565B59"/>
    <w:rsid w:val="00580318"/>
    <w:rsid w:val="00580DA1"/>
    <w:rsid w:val="00581101"/>
    <w:rsid w:val="005817B6"/>
    <w:rsid w:val="00583173"/>
    <w:rsid w:val="005834E9"/>
    <w:rsid w:val="00592C86"/>
    <w:rsid w:val="005939EB"/>
    <w:rsid w:val="00594F14"/>
    <w:rsid w:val="005970F8"/>
    <w:rsid w:val="005A55DB"/>
    <w:rsid w:val="005A5FF5"/>
    <w:rsid w:val="005B3AD1"/>
    <w:rsid w:val="005B556F"/>
    <w:rsid w:val="005B63E3"/>
    <w:rsid w:val="005C308C"/>
    <w:rsid w:val="005D250F"/>
    <w:rsid w:val="005D4277"/>
    <w:rsid w:val="005E1DD4"/>
    <w:rsid w:val="0060321B"/>
    <w:rsid w:val="006159DF"/>
    <w:rsid w:val="00616676"/>
    <w:rsid w:val="006221D8"/>
    <w:rsid w:val="006267B4"/>
    <w:rsid w:val="006334FE"/>
    <w:rsid w:val="0063446C"/>
    <w:rsid w:val="00640548"/>
    <w:rsid w:val="0065052D"/>
    <w:rsid w:val="006518EB"/>
    <w:rsid w:val="00653CBB"/>
    <w:rsid w:val="006552EB"/>
    <w:rsid w:val="00660910"/>
    <w:rsid w:val="00661197"/>
    <w:rsid w:val="006623BE"/>
    <w:rsid w:val="00665C1A"/>
    <w:rsid w:val="00674C81"/>
    <w:rsid w:val="00683D1D"/>
    <w:rsid w:val="00685E7B"/>
    <w:rsid w:val="0069002B"/>
    <w:rsid w:val="00692F52"/>
    <w:rsid w:val="00693C87"/>
    <w:rsid w:val="006963EB"/>
    <w:rsid w:val="006977FA"/>
    <w:rsid w:val="006A6FC5"/>
    <w:rsid w:val="006B0B6A"/>
    <w:rsid w:val="006B2DA5"/>
    <w:rsid w:val="006C27C0"/>
    <w:rsid w:val="006C50D7"/>
    <w:rsid w:val="006D7510"/>
    <w:rsid w:val="006F32F2"/>
    <w:rsid w:val="006F42BD"/>
    <w:rsid w:val="006F62EB"/>
    <w:rsid w:val="007004F5"/>
    <w:rsid w:val="00704715"/>
    <w:rsid w:val="0073258C"/>
    <w:rsid w:val="007343B9"/>
    <w:rsid w:val="007366AF"/>
    <w:rsid w:val="007402FB"/>
    <w:rsid w:val="00742F3E"/>
    <w:rsid w:val="00743F66"/>
    <w:rsid w:val="00744817"/>
    <w:rsid w:val="00745134"/>
    <w:rsid w:val="00745D55"/>
    <w:rsid w:val="00752B0D"/>
    <w:rsid w:val="0075300A"/>
    <w:rsid w:val="00757284"/>
    <w:rsid w:val="007609C9"/>
    <w:rsid w:val="0076237F"/>
    <w:rsid w:val="00762D75"/>
    <w:rsid w:val="00762F4E"/>
    <w:rsid w:val="00763029"/>
    <w:rsid w:val="00765C59"/>
    <w:rsid w:val="0077339C"/>
    <w:rsid w:val="00784DCF"/>
    <w:rsid w:val="007A1747"/>
    <w:rsid w:val="007A6F75"/>
    <w:rsid w:val="007B2002"/>
    <w:rsid w:val="007B3C96"/>
    <w:rsid w:val="007B7DCD"/>
    <w:rsid w:val="007C49CA"/>
    <w:rsid w:val="007D42FE"/>
    <w:rsid w:val="007E1FA1"/>
    <w:rsid w:val="007E4260"/>
    <w:rsid w:val="007F08FF"/>
    <w:rsid w:val="007F4365"/>
    <w:rsid w:val="00804E25"/>
    <w:rsid w:val="00806C21"/>
    <w:rsid w:val="008117DC"/>
    <w:rsid w:val="00812687"/>
    <w:rsid w:val="008145B0"/>
    <w:rsid w:val="008170F2"/>
    <w:rsid w:val="00821376"/>
    <w:rsid w:val="00823A5C"/>
    <w:rsid w:val="008330DE"/>
    <w:rsid w:val="00833C65"/>
    <w:rsid w:val="0084194B"/>
    <w:rsid w:val="00844C2E"/>
    <w:rsid w:val="008604AC"/>
    <w:rsid w:val="0086078B"/>
    <w:rsid w:val="00861161"/>
    <w:rsid w:val="0086627F"/>
    <w:rsid w:val="00883276"/>
    <w:rsid w:val="0088719E"/>
    <w:rsid w:val="00887DF2"/>
    <w:rsid w:val="00892359"/>
    <w:rsid w:val="00895843"/>
    <w:rsid w:val="00897121"/>
    <w:rsid w:val="008A1FDB"/>
    <w:rsid w:val="008A3121"/>
    <w:rsid w:val="008A3890"/>
    <w:rsid w:val="008B13FF"/>
    <w:rsid w:val="008B1A13"/>
    <w:rsid w:val="008B2A25"/>
    <w:rsid w:val="008C30EC"/>
    <w:rsid w:val="008C38EA"/>
    <w:rsid w:val="008C5B28"/>
    <w:rsid w:val="008D5D8A"/>
    <w:rsid w:val="008E0132"/>
    <w:rsid w:val="008E0BBF"/>
    <w:rsid w:val="008E2628"/>
    <w:rsid w:val="008E5F32"/>
    <w:rsid w:val="008E5F84"/>
    <w:rsid w:val="008F010E"/>
    <w:rsid w:val="008F1C7E"/>
    <w:rsid w:val="008F31C6"/>
    <w:rsid w:val="008F5875"/>
    <w:rsid w:val="00902522"/>
    <w:rsid w:val="009114F2"/>
    <w:rsid w:val="00914EB0"/>
    <w:rsid w:val="009153EE"/>
    <w:rsid w:val="00922508"/>
    <w:rsid w:val="00923F60"/>
    <w:rsid w:val="00930851"/>
    <w:rsid w:val="00942B7D"/>
    <w:rsid w:val="00946312"/>
    <w:rsid w:val="009503CE"/>
    <w:rsid w:val="00952539"/>
    <w:rsid w:val="009528DD"/>
    <w:rsid w:val="00960797"/>
    <w:rsid w:val="0096086C"/>
    <w:rsid w:val="00961F43"/>
    <w:rsid w:val="00962621"/>
    <w:rsid w:val="00972565"/>
    <w:rsid w:val="00976F80"/>
    <w:rsid w:val="00986F2F"/>
    <w:rsid w:val="00991BCF"/>
    <w:rsid w:val="00994157"/>
    <w:rsid w:val="00997A1D"/>
    <w:rsid w:val="00997CEF"/>
    <w:rsid w:val="009A18FB"/>
    <w:rsid w:val="009A29E6"/>
    <w:rsid w:val="009A5CAC"/>
    <w:rsid w:val="009A6058"/>
    <w:rsid w:val="009A636C"/>
    <w:rsid w:val="009B1179"/>
    <w:rsid w:val="009B1745"/>
    <w:rsid w:val="009C0C74"/>
    <w:rsid w:val="009C20DE"/>
    <w:rsid w:val="009C35B2"/>
    <w:rsid w:val="009C4A5F"/>
    <w:rsid w:val="009C6830"/>
    <w:rsid w:val="009D3F6B"/>
    <w:rsid w:val="009D7D2C"/>
    <w:rsid w:val="009E24AC"/>
    <w:rsid w:val="009E2E69"/>
    <w:rsid w:val="009E649C"/>
    <w:rsid w:val="009F4E2A"/>
    <w:rsid w:val="009F4ED3"/>
    <w:rsid w:val="00A05170"/>
    <w:rsid w:val="00A063AB"/>
    <w:rsid w:val="00A13E97"/>
    <w:rsid w:val="00A14A80"/>
    <w:rsid w:val="00A14D01"/>
    <w:rsid w:val="00A169D3"/>
    <w:rsid w:val="00A27E49"/>
    <w:rsid w:val="00A30E82"/>
    <w:rsid w:val="00A33200"/>
    <w:rsid w:val="00A3453B"/>
    <w:rsid w:val="00A35B05"/>
    <w:rsid w:val="00A40B3E"/>
    <w:rsid w:val="00A40F29"/>
    <w:rsid w:val="00A423E3"/>
    <w:rsid w:val="00A45B3B"/>
    <w:rsid w:val="00A50CAC"/>
    <w:rsid w:val="00A50D11"/>
    <w:rsid w:val="00A54224"/>
    <w:rsid w:val="00A559E7"/>
    <w:rsid w:val="00A63149"/>
    <w:rsid w:val="00A63BC2"/>
    <w:rsid w:val="00A63DF0"/>
    <w:rsid w:val="00A7259E"/>
    <w:rsid w:val="00A7485E"/>
    <w:rsid w:val="00A81A41"/>
    <w:rsid w:val="00A82D51"/>
    <w:rsid w:val="00A87748"/>
    <w:rsid w:val="00A9142A"/>
    <w:rsid w:val="00A918C9"/>
    <w:rsid w:val="00A9192B"/>
    <w:rsid w:val="00A9368D"/>
    <w:rsid w:val="00A93A36"/>
    <w:rsid w:val="00A961F9"/>
    <w:rsid w:val="00AB0172"/>
    <w:rsid w:val="00AB16F4"/>
    <w:rsid w:val="00AB27B9"/>
    <w:rsid w:val="00AB2912"/>
    <w:rsid w:val="00AB41C7"/>
    <w:rsid w:val="00AC07F4"/>
    <w:rsid w:val="00AC252D"/>
    <w:rsid w:val="00AC2DA2"/>
    <w:rsid w:val="00AC4FC5"/>
    <w:rsid w:val="00AE0069"/>
    <w:rsid w:val="00AE0708"/>
    <w:rsid w:val="00AE5839"/>
    <w:rsid w:val="00AF380A"/>
    <w:rsid w:val="00AF431D"/>
    <w:rsid w:val="00AF4ACE"/>
    <w:rsid w:val="00AF564F"/>
    <w:rsid w:val="00B013DF"/>
    <w:rsid w:val="00B1202C"/>
    <w:rsid w:val="00B13F6D"/>
    <w:rsid w:val="00B14D73"/>
    <w:rsid w:val="00B23706"/>
    <w:rsid w:val="00B26B73"/>
    <w:rsid w:val="00B41420"/>
    <w:rsid w:val="00B460D5"/>
    <w:rsid w:val="00B50F0C"/>
    <w:rsid w:val="00B513C2"/>
    <w:rsid w:val="00B51AB7"/>
    <w:rsid w:val="00B53E6A"/>
    <w:rsid w:val="00B54B30"/>
    <w:rsid w:val="00B56A02"/>
    <w:rsid w:val="00B5712D"/>
    <w:rsid w:val="00B57F8F"/>
    <w:rsid w:val="00B7398E"/>
    <w:rsid w:val="00B80901"/>
    <w:rsid w:val="00B820E7"/>
    <w:rsid w:val="00B83B7C"/>
    <w:rsid w:val="00B854DB"/>
    <w:rsid w:val="00B85D21"/>
    <w:rsid w:val="00B9191F"/>
    <w:rsid w:val="00B9195D"/>
    <w:rsid w:val="00B954DC"/>
    <w:rsid w:val="00B959A7"/>
    <w:rsid w:val="00B97B9B"/>
    <w:rsid w:val="00BA0154"/>
    <w:rsid w:val="00BA42B0"/>
    <w:rsid w:val="00BC1792"/>
    <w:rsid w:val="00BC406F"/>
    <w:rsid w:val="00BC4A5B"/>
    <w:rsid w:val="00BC6B21"/>
    <w:rsid w:val="00BD1BF6"/>
    <w:rsid w:val="00BD38FF"/>
    <w:rsid w:val="00BE09E8"/>
    <w:rsid w:val="00BE1774"/>
    <w:rsid w:val="00BE5DCB"/>
    <w:rsid w:val="00BE5FEF"/>
    <w:rsid w:val="00BF1236"/>
    <w:rsid w:val="00C02ADC"/>
    <w:rsid w:val="00C02FAB"/>
    <w:rsid w:val="00C071D6"/>
    <w:rsid w:val="00C12426"/>
    <w:rsid w:val="00C136D0"/>
    <w:rsid w:val="00C161F7"/>
    <w:rsid w:val="00C201CC"/>
    <w:rsid w:val="00C30007"/>
    <w:rsid w:val="00C3291A"/>
    <w:rsid w:val="00C34372"/>
    <w:rsid w:val="00C36866"/>
    <w:rsid w:val="00C37E37"/>
    <w:rsid w:val="00C41871"/>
    <w:rsid w:val="00C429C2"/>
    <w:rsid w:val="00C44F41"/>
    <w:rsid w:val="00C455D2"/>
    <w:rsid w:val="00C66752"/>
    <w:rsid w:val="00C71CF1"/>
    <w:rsid w:val="00C7524A"/>
    <w:rsid w:val="00C75494"/>
    <w:rsid w:val="00C7640F"/>
    <w:rsid w:val="00C806D0"/>
    <w:rsid w:val="00C91802"/>
    <w:rsid w:val="00C92DCE"/>
    <w:rsid w:val="00C933A7"/>
    <w:rsid w:val="00C93A32"/>
    <w:rsid w:val="00C9571D"/>
    <w:rsid w:val="00C95CA6"/>
    <w:rsid w:val="00CB04BC"/>
    <w:rsid w:val="00CC3E67"/>
    <w:rsid w:val="00CC69D2"/>
    <w:rsid w:val="00CD388A"/>
    <w:rsid w:val="00CD728E"/>
    <w:rsid w:val="00CE03F6"/>
    <w:rsid w:val="00CE18F7"/>
    <w:rsid w:val="00CE2447"/>
    <w:rsid w:val="00CE42A2"/>
    <w:rsid w:val="00CE4C34"/>
    <w:rsid w:val="00CE5F1E"/>
    <w:rsid w:val="00CE615F"/>
    <w:rsid w:val="00CE735F"/>
    <w:rsid w:val="00CF20F8"/>
    <w:rsid w:val="00CF3C3A"/>
    <w:rsid w:val="00D0036F"/>
    <w:rsid w:val="00D01959"/>
    <w:rsid w:val="00D05A79"/>
    <w:rsid w:val="00D1537E"/>
    <w:rsid w:val="00D200C7"/>
    <w:rsid w:val="00D24CFB"/>
    <w:rsid w:val="00D25038"/>
    <w:rsid w:val="00D26C4A"/>
    <w:rsid w:val="00D336C9"/>
    <w:rsid w:val="00D3575A"/>
    <w:rsid w:val="00D40BFD"/>
    <w:rsid w:val="00D41A86"/>
    <w:rsid w:val="00D42637"/>
    <w:rsid w:val="00D4491B"/>
    <w:rsid w:val="00D5140E"/>
    <w:rsid w:val="00D54CFB"/>
    <w:rsid w:val="00D5616B"/>
    <w:rsid w:val="00D60C9C"/>
    <w:rsid w:val="00D620E5"/>
    <w:rsid w:val="00D7426D"/>
    <w:rsid w:val="00D75D29"/>
    <w:rsid w:val="00D77B3F"/>
    <w:rsid w:val="00D8185A"/>
    <w:rsid w:val="00D905A6"/>
    <w:rsid w:val="00D9447F"/>
    <w:rsid w:val="00D95C05"/>
    <w:rsid w:val="00DA05AE"/>
    <w:rsid w:val="00DA22DD"/>
    <w:rsid w:val="00DA4750"/>
    <w:rsid w:val="00DA73DF"/>
    <w:rsid w:val="00DB22BF"/>
    <w:rsid w:val="00DC0FCA"/>
    <w:rsid w:val="00DC1B95"/>
    <w:rsid w:val="00DC6F3C"/>
    <w:rsid w:val="00DD26D9"/>
    <w:rsid w:val="00DD4D27"/>
    <w:rsid w:val="00DE40B7"/>
    <w:rsid w:val="00DE5226"/>
    <w:rsid w:val="00DE63D6"/>
    <w:rsid w:val="00DF00AB"/>
    <w:rsid w:val="00DF21EF"/>
    <w:rsid w:val="00DF7EF1"/>
    <w:rsid w:val="00E020B1"/>
    <w:rsid w:val="00E04BBA"/>
    <w:rsid w:val="00E04CBE"/>
    <w:rsid w:val="00E06F62"/>
    <w:rsid w:val="00E14646"/>
    <w:rsid w:val="00E3099C"/>
    <w:rsid w:val="00E31D1D"/>
    <w:rsid w:val="00E3273F"/>
    <w:rsid w:val="00E36901"/>
    <w:rsid w:val="00E36D18"/>
    <w:rsid w:val="00E374A4"/>
    <w:rsid w:val="00E5040E"/>
    <w:rsid w:val="00E6141A"/>
    <w:rsid w:val="00E65A3B"/>
    <w:rsid w:val="00E91939"/>
    <w:rsid w:val="00EA425E"/>
    <w:rsid w:val="00EA4A78"/>
    <w:rsid w:val="00EB41F7"/>
    <w:rsid w:val="00EB6E7A"/>
    <w:rsid w:val="00EC0B4C"/>
    <w:rsid w:val="00EC5856"/>
    <w:rsid w:val="00EC7911"/>
    <w:rsid w:val="00ED236C"/>
    <w:rsid w:val="00ED2BEE"/>
    <w:rsid w:val="00EE0826"/>
    <w:rsid w:val="00EE14AD"/>
    <w:rsid w:val="00EE446C"/>
    <w:rsid w:val="00EF4AD4"/>
    <w:rsid w:val="00EF5A74"/>
    <w:rsid w:val="00F075F9"/>
    <w:rsid w:val="00F260D3"/>
    <w:rsid w:val="00F26FAE"/>
    <w:rsid w:val="00F312B5"/>
    <w:rsid w:val="00F31B29"/>
    <w:rsid w:val="00F3430E"/>
    <w:rsid w:val="00F354C0"/>
    <w:rsid w:val="00F43269"/>
    <w:rsid w:val="00F442C6"/>
    <w:rsid w:val="00F57609"/>
    <w:rsid w:val="00F63CAC"/>
    <w:rsid w:val="00F70F4E"/>
    <w:rsid w:val="00F73E46"/>
    <w:rsid w:val="00F74A83"/>
    <w:rsid w:val="00F75D9E"/>
    <w:rsid w:val="00F76ABA"/>
    <w:rsid w:val="00F80404"/>
    <w:rsid w:val="00F82908"/>
    <w:rsid w:val="00F83E8D"/>
    <w:rsid w:val="00F85A50"/>
    <w:rsid w:val="00FA064A"/>
    <w:rsid w:val="00FA3E7D"/>
    <w:rsid w:val="00FA7FE3"/>
    <w:rsid w:val="00FB0470"/>
    <w:rsid w:val="00FB5EC5"/>
    <w:rsid w:val="00FC2185"/>
    <w:rsid w:val="00FC4379"/>
    <w:rsid w:val="00FC5104"/>
    <w:rsid w:val="00FC78FD"/>
    <w:rsid w:val="00FD1A70"/>
    <w:rsid w:val="00FD40F2"/>
    <w:rsid w:val="00FE073E"/>
    <w:rsid w:val="00FE2BDD"/>
    <w:rsid w:val="00FE3F97"/>
    <w:rsid w:val="00FE632E"/>
    <w:rsid w:val="00FE66B7"/>
    <w:rsid w:val="00FE6E9A"/>
    <w:rsid w:val="00FF531F"/>
    <w:rsid w:val="00FF6B6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lang w:val="en-GB" w:eastAsia="ar-SA"/>
    </w:rPr>
  </w:style>
  <w:style w:type="paragraph" w:styleId="Ttulo3">
    <w:name w:val="heading 3"/>
    <w:basedOn w:val="Normal"/>
    <w:next w:val="Textoindependiente"/>
    <w:link w:val="Ttulo3C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rPr>
      <w:rFonts w:ascii="Cambria" w:hAnsi="Cambria" w:cs="Times New Roman"/>
      <w:b/>
      <w:bCs/>
      <w:sz w:val="26"/>
      <w:szCs w:val="26"/>
      <w:lang w:val="en-GB" w:eastAsia="ar-SA" w:bidi="ar-SA"/>
    </w:rPr>
  </w:style>
  <w:style w:type="paragraph" w:styleId="Textodeglobo">
    <w:name w:val="Balloon Text"/>
    <w:basedOn w:val="Normal"/>
    <w:link w:val="TextodegloboCar"/>
    <w:uiPriority w:val="99"/>
    <w:semiHidden/>
    <w:rsid w:val="002A2D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Pr>
      <w:rFonts w:eastAsia="MS Mincho" w:cs="Times New Roman"/>
      <w:sz w:val="2"/>
      <w:lang w:val="en-GB" w:eastAsia="ar-SA" w:bidi="ar-SA"/>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ipervnculo">
    <w:name w:val="Hyperlink"/>
    <w:basedOn w:val="Fuentedeprrafopredeter"/>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Nmerodepgina">
    <w:name w:val="page number"/>
    <w:basedOn w:val="Policepardfaut1"/>
    <w:uiPriority w:val="99"/>
    <w:rsid w:val="002A2D6A"/>
    <w:rPr>
      <w:rFonts w:cs="Times New Roman"/>
    </w:rPr>
  </w:style>
  <w:style w:type="paragraph" w:customStyle="1" w:styleId="Titre1">
    <w:name w:val="Titre1"/>
    <w:basedOn w:val="Normal"/>
    <w:next w:val="Textoindependiente"/>
    <w:uiPriority w:val="99"/>
    <w:rsid w:val="002A2D6A"/>
    <w:pPr>
      <w:keepNext/>
      <w:spacing w:before="240" w:after="120"/>
    </w:pPr>
    <w:rPr>
      <w:rFonts w:ascii="Arial" w:eastAsia="PMingLiU" w:hAnsi="Arial" w:cs="Tahoma"/>
      <w:sz w:val="28"/>
      <w:szCs w:val="28"/>
    </w:rPr>
  </w:style>
  <w:style w:type="paragraph" w:styleId="Textoindependiente">
    <w:name w:val="Body Text"/>
    <w:basedOn w:val="Normal"/>
    <w:link w:val="TextoindependienteCar"/>
    <w:uiPriority w:val="99"/>
    <w:rsid w:val="002A2D6A"/>
    <w:pPr>
      <w:spacing w:after="120"/>
    </w:pPr>
  </w:style>
  <w:style w:type="character" w:customStyle="1" w:styleId="TextoindependienteCar">
    <w:name w:val="Texto independiente Car"/>
    <w:basedOn w:val="Fuentedeprrafopredeter"/>
    <w:link w:val="Textoindependiente"/>
    <w:uiPriority w:val="99"/>
    <w:semiHidden/>
    <w:rPr>
      <w:rFonts w:ascii="Cambria" w:eastAsia="MS Mincho" w:hAnsi="Cambria" w:cs="Cambria"/>
      <w:sz w:val="24"/>
      <w:szCs w:val="24"/>
      <w:lang w:val="en-GB" w:eastAsia="ar-SA" w:bidi="ar-SA"/>
    </w:rPr>
  </w:style>
  <w:style w:type="paragraph" w:styleId="Lista">
    <w:name w:val="List"/>
    <w:basedOn w:val="Textoindependiente"/>
    <w:uiPriority w:val="99"/>
    <w:rsid w:val="002A2D6A"/>
    <w:rPr>
      <w:rFonts w:cs="Tahoma"/>
    </w:rPr>
  </w:style>
  <w:style w:type="paragraph" w:customStyle="1" w:styleId="Lgende1">
    <w:name w:val="Légende1"/>
    <w:basedOn w:val="Normal"/>
    <w:uiPriority w:val="99"/>
    <w:rsid w:val="002A2D6A"/>
    <w:pPr>
      <w:suppressLineNumbers/>
      <w:spacing w:before="120" w:after="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Encabezado">
    <w:name w:val="header"/>
    <w:basedOn w:val="Normal"/>
    <w:link w:val="EncabezadoCar"/>
    <w:uiPriority w:val="99"/>
    <w:rsid w:val="002A2D6A"/>
  </w:style>
  <w:style w:type="character" w:customStyle="1" w:styleId="EncabezadoCar">
    <w:name w:val="Encabezado Car"/>
    <w:basedOn w:val="Fuentedeprrafopredeter"/>
    <w:link w:val="Encabezado"/>
    <w:uiPriority w:val="99"/>
    <w:semiHidden/>
    <w:rPr>
      <w:rFonts w:ascii="Cambria" w:eastAsia="MS Mincho" w:hAnsi="Cambria" w:cs="Cambria"/>
      <w:sz w:val="24"/>
      <w:szCs w:val="24"/>
      <w:lang w:val="en-GB" w:eastAsia="ar-SA" w:bidi="ar-SA"/>
    </w:rPr>
  </w:style>
  <w:style w:type="paragraph" w:styleId="Piedepgina">
    <w:name w:val="footer"/>
    <w:basedOn w:val="Normal"/>
    <w:link w:val="PiedepginaCar"/>
    <w:uiPriority w:val="99"/>
    <w:rsid w:val="002A2D6A"/>
    <w:rPr>
      <w:rFonts w:cs="Times New Roman"/>
      <w:lang w:val="fr-FR"/>
    </w:rPr>
  </w:style>
  <w:style w:type="character" w:customStyle="1" w:styleId="PiedepginaCar">
    <w:name w:val="Pie de página Car"/>
    <w:basedOn w:val="Fuentedeprrafopredeter"/>
    <w:link w:val="Piedepgina"/>
    <w:uiPriority w:val="99"/>
    <w:rsid w:val="00CF3C3A"/>
    <w:rPr>
      <w:rFonts w:ascii="Cambria" w:eastAsia="MS Mincho" w:hAnsi="Cambria" w:cs="Times New Roman"/>
      <w:sz w:val="24"/>
      <w:lang w:eastAsia="ar-SA" w:bidi="ar-SA"/>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sz w:val="18"/>
      <w:szCs w:val="20"/>
    </w:rPr>
  </w:style>
  <w:style w:type="paragraph" w:customStyle="1" w:styleId="Titrecontact">
    <w:name w:val="Titre contact"/>
    <w:basedOn w:val="Textecontact0"/>
    <w:uiPriority w:val="99"/>
    <w:rsid w:val="002A2D6A"/>
    <w:pPr>
      <w:spacing w:before="0" w:after="0"/>
      <w:ind w:left="0" w:right="0"/>
    </w:pPr>
    <w:rPr>
      <w:b/>
      <w:color w:val="000000"/>
    </w:rPr>
  </w:style>
  <w:style w:type="paragraph" w:styleId="Textonotapie">
    <w:name w:val="footnote text"/>
    <w:basedOn w:val="Normal"/>
    <w:link w:val="TextonotapieCar"/>
    <w:uiPriority w:val="99"/>
    <w:rsid w:val="002A2D6A"/>
    <w:rPr>
      <w:sz w:val="20"/>
      <w:szCs w:val="20"/>
    </w:rPr>
  </w:style>
  <w:style w:type="character" w:customStyle="1" w:styleId="TextonotapieCar">
    <w:name w:val="Texto nota pie Car"/>
    <w:basedOn w:val="Fuentedeprrafopredeter"/>
    <w:link w:val="Textonotapie"/>
    <w:uiPriority w:val="99"/>
    <w:rsid w:val="00FE6E9A"/>
    <w:rPr>
      <w:rFonts w:ascii="Cambria" w:eastAsia="MS Mincho" w:hAnsi="Cambria" w:cs="Cambria"/>
      <w:lang w:val="en-GB" w:eastAsia="ar-SA" w:bidi="ar-SA"/>
    </w:rPr>
  </w:style>
  <w:style w:type="paragraph" w:customStyle="1" w:styleId="Textedesaisie">
    <w:name w:val="Texte de saisie"/>
    <w:basedOn w:val="Normal"/>
    <w:uiPriority w:val="99"/>
    <w:rsid w:val="002A2D6A"/>
    <w:pPr>
      <w:spacing w:line="260" w:lineRule="atLeast"/>
      <w:jc w:val="both"/>
    </w:pPr>
    <w:rPr>
      <w:rFonts w:ascii="Arial" w:eastAsia="PMingLiU" w:hAnsi="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Textoindependiente"/>
    <w:uiPriority w:val="99"/>
    <w:rsid w:val="002A2D6A"/>
  </w:style>
  <w:style w:type="table" w:styleId="Tablaconcuadrcula">
    <w:name w:val="Table Grid"/>
    <w:basedOn w:val="Tablanormal"/>
    <w:uiPriority w:val="5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8F1C7E"/>
    <w:rPr>
      <w:rFonts w:cs="Times New Roman"/>
      <w:b/>
    </w:rPr>
  </w:style>
  <w:style w:type="character" w:styleId="Refdenotaalpie">
    <w:name w:val="footnote reference"/>
    <w:basedOn w:val="Fuentedeprrafopredeter"/>
    <w:uiPriority w:val="99"/>
    <w:semiHidden/>
    <w:rsid w:val="008F1C7E"/>
    <w:rPr>
      <w:rFonts w:cs="Times New Roman"/>
      <w:vertAlign w:val="superscript"/>
    </w:rPr>
  </w:style>
  <w:style w:type="character" w:styleId="nfasis">
    <w:name w:val="Emphasis"/>
    <w:basedOn w:val="Fuentedeprrafopredeter"/>
    <w:uiPriority w:val="99"/>
    <w:qFormat/>
    <w:rsid w:val="008F1C7E"/>
    <w:rPr>
      <w:rFonts w:cs="Times New Roman"/>
      <w:i/>
    </w:rPr>
  </w:style>
  <w:style w:type="paragraph" w:styleId="Prrafodelista">
    <w:name w:val="List Paragraph"/>
    <w:basedOn w:val="Normal"/>
    <w:uiPriority w:val="99"/>
    <w:qFormat/>
    <w:rsid w:val="00685E7B"/>
    <w:pPr>
      <w:widowControl/>
      <w:ind w:left="720"/>
    </w:pPr>
    <w:rPr>
      <w:rFonts w:ascii="Calibri" w:eastAsia="PMingLiU" w:hAnsi="Calibri" w:cs="Calibri"/>
      <w:sz w:val="22"/>
      <w:szCs w:val="22"/>
      <w:lang w:eastAsia="en-US"/>
    </w:rPr>
  </w:style>
  <w:style w:type="paragraph" w:customStyle="1" w:styleId="Default">
    <w:name w:val="Default"/>
    <w:uiPriority w:val="99"/>
    <w:rsid w:val="00DB22BF"/>
    <w:pPr>
      <w:widowControl w:val="0"/>
      <w:autoSpaceDE w:val="0"/>
      <w:autoSpaceDN w:val="0"/>
      <w:adjustRightInd w:val="0"/>
    </w:pPr>
    <w:rPr>
      <w:rFonts w:ascii="Arial" w:hAnsi="Arial" w:cs="Arial"/>
      <w:color w:val="000000"/>
      <w:sz w:val="24"/>
      <w:szCs w:val="24"/>
      <w:lang w:eastAsia="es-ES"/>
    </w:rPr>
  </w:style>
  <w:style w:type="table" w:styleId="Cuadrculaclara-nfasis3">
    <w:name w:val="Light Grid Accent 3"/>
    <w:basedOn w:val="Tablanormal"/>
    <w:uiPriority w:val="99"/>
    <w:rsid w:val="00FE6E9A"/>
    <w:rPr>
      <w:rFonts w:ascii="Calibri" w:hAnsi="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PMingLiU"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Refdecomentario">
    <w:name w:val="annotation reference"/>
    <w:basedOn w:val="Fuentedeprrafopredeter"/>
    <w:uiPriority w:val="99"/>
    <w:semiHidden/>
    <w:rsid w:val="006159DF"/>
    <w:rPr>
      <w:rFonts w:cs="Times New Roman"/>
      <w:sz w:val="16"/>
      <w:szCs w:val="16"/>
    </w:rPr>
  </w:style>
  <w:style w:type="paragraph" w:styleId="Textocomentario">
    <w:name w:val="annotation text"/>
    <w:basedOn w:val="Normal"/>
    <w:link w:val="TextocomentarioCar"/>
    <w:uiPriority w:val="99"/>
    <w:semiHidden/>
    <w:rsid w:val="006159DF"/>
    <w:rPr>
      <w:sz w:val="20"/>
      <w:szCs w:val="20"/>
    </w:rPr>
  </w:style>
  <w:style w:type="character" w:customStyle="1" w:styleId="TextocomentarioCar">
    <w:name w:val="Texto comentario Car"/>
    <w:basedOn w:val="Fuentedeprrafopredeter"/>
    <w:link w:val="Textocomentario"/>
    <w:uiPriority w:val="99"/>
    <w:rsid w:val="006159DF"/>
    <w:rPr>
      <w:rFonts w:ascii="Cambria" w:eastAsia="MS Mincho" w:hAnsi="Cambria" w:cs="Cambria"/>
      <w:lang w:val="en-GB" w:eastAsia="ar-SA" w:bidi="ar-SA"/>
    </w:rPr>
  </w:style>
  <w:style w:type="paragraph" w:styleId="Asuntodelcomentario">
    <w:name w:val="annotation subject"/>
    <w:basedOn w:val="Textocomentario"/>
    <w:next w:val="Textocomentario"/>
    <w:link w:val="AsuntodelcomentarioCar"/>
    <w:uiPriority w:val="99"/>
    <w:semiHidden/>
    <w:rsid w:val="006159DF"/>
    <w:rPr>
      <w:b/>
      <w:bCs/>
    </w:rPr>
  </w:style>
  <w:style w:type="character" w:customStyle="1" w:styleId="AsuntodelcomentarioCar">
    <w:name w:val="Asunto del comentario Car"/>
    <w:basedOn w:val="TextocomentarioCar"/>
    <w:link w:val="Asuntodelcomentario"/>
    <w:uiPriority w:val="99"/>
    <w:rsid w:val="006159DF"/>
    <w:rPr>
      <w:rFonts w:ascii="Cambria" w:eastAsia="MS Mincho" w:hAnsi="Cambria" w:cs="Cambria"/>
      <w:b/>
      <w:bCs/>
      <w:lang w:val="en-GB" w:eastAsia="ar-SA" w:bidi="ar-SA"/>
    </w:rPr>
  </w:style>
  <w:style w:type="paragraph" w:styleId="NormalWeb">
    <w:name w:val="Normal (Web)"/>
    <w:basedOn w:val="Normal"/>
    <w:uiPriority w:val="99"/>
    <w:semiHidden/>
    <w:unhideWhenUsed/>
    <w:rsid w:val="00016FE2"/>
    <w:rPr>
      <w:rFonts w:ascii="Times New Roman" w:hAnsi="Times New Roman" w:cs="Times New Roman"/>
    </w:rPr>
  </w:style>
  <w:style w:type="table" w:customStyle="1" w:styleId="TableGrid1">
    <w:name w:val="Table Grid1"/>
    <w:basedOn w:val="Tablanormal"/>
    <w:next w:val="Tablaconcuadrcula"/>
    <w:uiPriority w:val="59"/>
    <w:rsid w:val="00016FE2"/>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DE40B7"/>
    <w:rPr>
      <w:sz w:val="20"/>
      <w:szCs w:val="20"/>
    </w:rPr>
  </w:style>
  <w:style w:type="character" w:customStyle="1" w:styleId="TextonotaalfinalCar">
    <w:name w:val="Texto nota al final Car"/>
    <w:basedOn w:val="Fuentedeprrafopredeter"/>
    <w:link w:val="Textonotaalfinal"/>
    <w:uiPriority w:val="99"/>
    <w:semiHidden/>
    <w:rsid w:val="00DE40B7"/>
    <w:rPr>
      <w:rFonts w:ascii="Cambria" w:eastAsia="MS Mincho" w:hAnsi="Cambria" w:cs="Cambria"/>
      <w:sz w:val="20"/>
      <w:szCs w:val="20"/>
      <w:lang w:val="en-GB" w:eastAsia="ar-SA"/>
    </w:rPr>
  </w:style>
  <w:style w:type="character" w:styleId="Refdenotaalfinal">
    <w:name w:val="endnote reference"/>
    <w:basedOn w:val="Fuentedeprrafopredeter"/>
    <w:uiPriority w:val="99"/>
    <w:semiHidden/>
    <w:unhideWhenUsed/>
    <w:rsid w:val="00DE40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lang w:val="en-GB" w:eastAsia="ar-SA"/>
    </w:rPr>
  </w:style>
  <w:style w:type="paragraph" w:styleId="Ttulo3">
    <w:name w:val="heading 3"/>
    <w:basedOn w:val="Normal"/>
    <w:next w:val="Textoindependiente"/>
    <w:link w:val="Ttulo3C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rPr>
      <w:rFonts w:ascii="Cambria" w:hAnsi="Cambria" w:cs="Times New Roman"/>
      <w:b/>
      <w:bCs/>
      <w:sz w:val="26"/>
      <w:szCs w:val="26"/>
      <w:lang w:val="en-GB" w:eastAsia="ar-SA" w:bidi="ar-SA"/>
    </w:rPr>
  </w:style>
  <w:style w:type="paragraph" w:styleId="Textodeglobo">
    <w:name w:val="Balloon Text"/>
    <w:basedOn w:val="Normal"/>
    <w:link w:val="TextodegloboCar"/>
    <w:uiPriority w:val="99"/>
    <w:semiHidden/>
    <w:rsid w:val="002A2D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Pr>
      <w:rFonts w:eastAsia="MS Mincho" w:cs="Times New Roman"/>
      <w:sz w:val="2"/>
      <w:lang w:val="en-GB" w:eastAsia="ar-SA" w:bidi="ar-SA"/>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ipervnculo">
    <w:name w:val="Hyperlink"/>
    <w:basedOn w:val="Fuentedeprrafopredeter"/>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Nmerodepgina">
    <w:name w:val="page number"/>
    <w:basedOn w:val="Policepardfaut1"/>
    <w:uiPriority w:val="99"/>
    <w:rsid w:val="002A2D6A"/>
    <w:rPr>
      <w:rFonts w:cs="Times New Roman"/>
    </w:rPr>
  </w:style>
  <w:style w:type="paragraph" w:customStyle="1" w:styleId="Titre1">
    <w:name w:val="Titre1"/>
    <w:basedOn w:val="Normal"/>
    <w:next w:val="Textoindependiente"/>
    <w:uiPriority w:val="99"/>
    <w:rsid w:val="002A2D6A"/>
    <w:pPr>
      <w:keepNext/>
      <w:spacing w:before="240" w:after="120"/>
    </w:pPr>
    <w:rPr>
      <w:rFonts w:ascii="Arial" w:eastAsia="PMingLiU" w:hAnsi="Arial" w:cs="Tahoma"/>
      <w:sz w:val="28"/>
      <w:szCs w:val="28"/>
    </w:rPr>
  </w:style>
  <w:style w:type="paragraph" w:styleId="Textoindependiente">
    <w:name w:val="Body Text"/>
    <w:basedOn w:val="Normal"/>
    <w:link w:val="TextoindependienteCar"/>
    <w:uiPriority w:val="99"/>
    <w:rsid w:val="002A2D6A"/>
    <w:pPr>
      <w:spacing w:after="120"/>
    </w:pPr>
  </w:style>
  <w:style w:type="character" w:customStyle="1" w:styleId="TextoindependienteCar">
    <w:name w:val="Texto independiente Car"/>
    <w:basedOn w:val="Fuentedeprrafopredeter"/>
    <w:link w:val="Textoindependiente"/>
    <w:uiPriority w:val="99"/>
    <w:semiHidden/>
    <w:rPr>
      <w:rFonts w:ascii="Cambria" w:eastAsia="MS Mincho" w:hAnsi="Cambria" w:cs="Cambria"/>
      <w:sz w:val="24"/>
      <w:szCs w:val="24"/>
      <w:lang w:val="en-GB" w:eastAsia="ar-SA" w:bidi="ar-SA"/>
    </w:rPr>
  </w:style>
  <w:style w:type="paragraph" w:styleId="Lista">
    <w:name w:val="List"/>
    <w:basedOn w:val="Textoindependiente"/>
    <w:uiPriority w:val="99"/>
    <w:rsid w:val="002A2D6A"/>
    <w:rPr>
      <w:rFonts w:cs="Tahoma"/>
    </w:rPr>
  </w:style>
  <w:style w:type="paragraph" w:customStyle="1" w:styleId="Lgende1">
    <w:name w:val="Légende1"/>
    <w:basedOn w:val="Normal"/>
    <w:uiPriority w:val="99"/>
    <w:rsid w:val="002A2D6A"/>
    <w:pPr>
      <w:suppressLineNumbers/>
      <w:spacing w:before="120" w:after="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Encabezado">
    <w:name w:val="header"/>
    <w:basedOn w:val="Normal"/>
    <w:link w:val="EncabezadoCar"/>
    <w:uiPriority w:val="99"/>
    <w:rsid w:val="002A2D6A"/>
  </w:style>
  <w:style w:type="character" w:customStyle="1" w:styleId="EncabezadoCar">
    <w:name w:val="Encabezado Car"/>
    <w:basedOn w:val="Fuentedeprrafopredeter"/>
    <w:link w:val="Encabezado"/>
    <w:uiPriority w:val="99"/>
    <w:semiHidden/>
    <w:rPr>
      <w:rFonts w:ascii="Cambria" w:eastAsia="MS Mincho" w:hAnsi="Cambria" w:cs="Cambria"/>
      <w:sz w:val="24"/>
      <w:szCs w:val="24"/>
      <w:lang w:val="en-GB" w:eastAsia="ar-SA" w:bidi="ar-SA"/>
    </w:rPr>
  </w:style>
  <w:style w:type="paragraph" w:styleId="Piedepgina">
    <w:name w:val="footer"/>
    <w:basedOn w:val="Normal"/>
    <w:link w:val="PiedepginaCar"/>
    <w:uiPriority w:val="99"/>
    <w:rsid w:val="002A2D6A"/>
    <w:rPr>
      <w:rFonts w:cs="Times New Roman"/>
      <w:lang w:val="fr-FR"/>
    </w:rPr>
  </w:style>
  <w:style w:type="character" w:customStyle="1" w:styleId="PiedepginaCar">
    <w:name w:val="Pie de página Car"/>
    <w:basedOn w:val="Fuentedeprrafopredeter"/>
    <w:link w:val="Piedepgina"/>
    <w:uiPriority w:val="99"/>
    <w:rsid w:val="00CF3C3A"/>
    <w:rPr>
      <w:rFonts w:ascii="Cambria" w:eastAsia="MS Mincho" w:hAnsi="Cambria" w:cs="Times New Roman"/>
      <w:sz w:val="24"/>
      <w:lang w:eastAsia="ar-SA" w:bidi="ar-SA"/>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sz w:val="18"/>
      <w:szCs w:val="20"/>
    </w:rPr>
  </w:style>
  <w:style w:type="paragraph" w:customStyle="1" w:styleId="Titrecontact">
    <w:name w:val="Titre contact"/>
    <w:basedOn w:val="Textecontact0"/>
    <w:uiPriority w:val="99"/>
    <w:rsid w:val="002A2D6A"/>
    <w:pPr>
      <w:spacing w:before="0" w:after="0"/>
      <w:ind w:left="0" w:right="0"/>
    </w:pPr>
    <w:rPr>
      <w:b/>
      <w:color w:val="000000"/>
    </w:rPr>
  </w:style>
  <w:style w:type="paragraph" w:styleId="Textonotapie">
    <w:name w:val="footnote text"/>
    <w:basedOn w:val="Normal"/>
    <w:link w:val="TextonotapieCar"/>
    <w:uiPriority w:val="99"/>
    <w:rsid w:val="002A2D6A"/>
    <w:rPr>
      <w:sz w:val="20"/>
      <w:szCs w:val="20"/>
    </w:rPr>
  </w:style>
  <w:style w:type="character" w:customStyle="1" w:styleId="TextonotapieCar">
    <w:name w:val="Texto nota pie Car"/>
    <w:basedOn w:val="Fuentedeprrafopredeter"/>
    <w:link w:val="Textonotapie"/>
    <w:uiPriority w:val="99"/>
    <w:rsid w:val="00FE6E9A"/>
    <w:rPr>
      <w:rFonts w:ascii="Cambria" w:eastAsia="MS Mincho" w:hAnsi="Cambria" w:cs="Cambria"/>
      <w:lang w:val="en-GB" w:eastAsia="ar-SA" w:bidi="ar-SA"/>
    </w:rPr>
  </w:style>
  <w:style w:type="paragraph" w:customStyle="1" w:styleId="Textedesaisie">
    <w:name w:val="Texte de saisie"/>
    <w:basedOn w:val="Normal"/>
    <w:uiPriority w:val="99"/>
    <w:rsid w:val="002A2D6A"/>
    <w:pPr>
      <w:spacing w:line="260" w:lineRule="atLeast"/>
      <w:jc w:val="both"/>
    </w:pPr>
    <w:rPr>
      <w:rFonts w:ascii="Arial" w:eastAsia="PMingLiU" w:hAnsi="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Textoindependiente"/>
    <w:uiPriority w:val="99"/>
    <w:rsid w:val="002A2D6A"/>
  </w:style>
  <w:style w:type="table" w:styleId="Tablaconcuadrcula">
    <w:name w:val="Table Grid"/>
    <w:basedOn w:val="Tablanormal"/>
    <w:uiPriority w:val="5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8F1C7E"/>
    <w:rPr>
      <w:rFonts w:cs="Times New Roman"/>
      <w:b/>
    </w:rPr>
  </w:style>
  <w:style w:type="character" w:styleId="Refdenotaalpie">
    <w:name w:val="footnote reference"/>
    <w:basedOn w:val="Fuentedeprrafopredeter"/>
    <w:uiPriority w:val="99"/>
    <w:semiHidden/>
    <w:rsid w:val="008F1C7E"/>
    <w:rPr>
      <w:rFonts w:cs="Times New Roman"/>
      <w:vertAlign w:val="superscript"/>
    </w:rPr>
  </w:style>
  <w:style w:type="character" w:styleId="nfasis">
    <w:name w:val="Emphasis"/>
    <w:basedOn w:val="Fuentedeprrafopredeter"/>
    <w:uiPriority w:val="99"/>
    <w:qFormat/>
    <w:rsid w:val="008F1C7E"/>
    <w:rPr>
      <w:rFonts w:cs="Times New Roman"/>
      <w:i/>
    </w:rPr>
  </w:style>
  <w:style w:type="paragraph" w:styleId="Prrafodelista">
    <w:name w:val="List Paragraph"/>
    <w:basedOn w:val="Normal"/>
    <w:uiPriority w:val="99"/>
    <w:qFormat/>
    <w:rsid w:val="00685E7B"/>
    <w:pPr>
      <w:widowControl/>
      <w:ind w:left="720"/>
    </w:pPr>
    <w:rPr>
      <w:rFonts w:ascii="Calibri" w:eastAsia="PMingLiU" w:hAnsi="Calibri" w:cs="Calibri"/>
      <w:sz w:val="22"/>
      <w:szCs w:val="22"/>
      <w:lang w:eastAsia="en-US"/>
    </w:rPr>
  </w:style>
  <w:style w:type="paragraph" w:customStyle="1" w:styleId="Default">
    <w:name w:val="Default"/>
    <w:uiPriority w:val="99"/>
    <w:rsid w:val="00DB22BF"/>
    <w:pPr>
      <w:widowControl w:val="0"/>
      <w:autoSpaceDE w:val="0"/>
      <w:autoSpaceDN w:val="0"/>
      <w:adjustRightInd w:val="0"/>
    </w:pPr>
    <w:rPr>
      <w:rFonts w:ascii="Arial" w:hAnsi="Arial" w:cs="Arial"/>
      <w:color w:val="000000"/>
      <w:sz w:val="24"/>
      <w:szCs w:val="24"/>
      <w:lang w:eastAsia="es-ES"/>
    </w:rPr>
  </w:style>
  <w:style w:type="table" w:styleId="Cuadrculaclara-nfasis3">
    <w:name w:val="Light Grid Accent 3"/>
    <w:basedOn w:val="Tablanormal"/>
    <w:uiPriority w:val="99"/>
    <w:rsid w:val="00FE6E9A"/>
    <w:rPr>
      <w:rFonts w:ascii="Calibri" w:hAnsi="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PMingLiU"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Refdecomentario">
    <w:name w:val="annotation reference"/>
    <w:basedOn w:val="Fuentedeprrafopredeter"/>
    <w:uiPriority w:val="99"/>
    <w:semiHidden/>
    <w:rsid w:val="006159DF"/>
    <w:rPr>
      <w:rFonts w:cs="Times New Roman"/>
      <w:sz w:val="16"/>
      <w:szCs w:val="16"/>
    </w:rPr>
  </w:style>
  <w:style w:type="paragraph" w:styleId="Textocomentario">
    <w:name w:val="annotation text"/>
    <w:basedOn w:val="Normal"/>
    <w:link w:val="TextocomentarioCar"/>
    <w:uiPriority w:val="99"/>
    <w:semiHidden/>
    <w:rsid w:val="006159DF"/>
    <w:rPr>
      <w:sz w:val="20"/>
      <w:szCs w:val="20"/>
    </w:rPr>
  </w:style>
  <w:style w:type="character" w:customStyle="1" w:styleId="TextocomentarioCar">
    <w:name w:val="Texto comentario Car"/>
    <w:basedOn w:val="Fuentedeprrafopredeter"/>
    <w:link w:val="Textocomentario"/>
    <w:uiPriority w:val="99"/>
    <w:rsid w:val="006159DF"/>
    <w:rPr>
      <w:rFonts w:ascii="Cambria" w:eastAsia="MS Mincho" w:hAnsi="Cambria" w:cs="Cambria"/>
      <w:lang w:val="en-GB" w:eastAsia="ar-SA" w:bidi="ar-SA"/>
    </w:rPr>
  </w:style>
  <w:style w:type="paragraph" w:styleId="Asuntodelcomentario">
    <w:name w:val="annotation subject"/>
    <w:basedOn w:val="Textocomentario"/>
    <w:next w:val="Textocomentario"/>
    <w:link w:val="AsuntodelcomentarioCar"/>
    <w:uiPriority w:val="99"/>
    <w:semiHidden/>
    <w:rsid w:val="006159DF"/>
    <w:rPr>
      <w:b/>
      <w:bCs/>
    </w:rPr>
  </w:style>
  <w:style w:type="character" w:customStyle="1" w:styleId="AsuntodelcomentarioCar">
    <w:name w:val="Asunto del comentario Car"/>
    <w:basedOn w:val="TextocomentarioCar"/>
    <w:link w:val="Asuntodelcomentario"/>
    <w:uiPriority w:val="99"/>
    <w:rsid w:val="006159DF"/>
    <w:rPr>
      <w:rFonts w:ascii="Cambria" w:eastAsia="MS Mincho" w:hAnsi="Cambria" w:cs="Cambria"/>
      <w:b/>
      <w:bCs/>
      <w:lang w:val="en-GB" w:eastAsia="ar-SA" w:bidi="ar-SA"/>
    </w:rPr>
  </w:style>
  <w:style w:type="paragraph" w:styleId="NormalWeb">
    <w:name w:val="Normal (Web)"/>
    <w:basedOn w:val="Normal"/>
    <w:uiPriority w:val="99"/>
    <w:semiHidden/>
    <w:unhideWhenUsed/>
    <w:rsid w:val="00016FE2"/>
    <w:rPr>
      <w:rFonts w:ascii="Times New Roman" w:hAnsi="Times New Roman" w:cs="Times New Roman"/>
    </w:rPr>
  </w:style>
  <w:style w:type="table" w:customStyle="1" w:styleId="TableGrid1">
    <w:name w:val="Table Grid1"/>
    <w:basedOn w:val="Tablanormal"/>
    <w:next w:val="Tablaconcuadrcula"/>
    <w:uiPriority w:val="59"/>
    <w:rsid w:val="00016FE2"/>
    <w:rPr>
      <w:rFonts w:ascii="Calibri" w:hAnsi="Calibri"/>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DE40B7"/>
    <w:rPr>
      <w:sz w:val="20"/>
      <w:szCs w:val="20"/>
    </w:rPr>
  </w:style>
  <w:style w:type="character" w:customStyle="1" w:styleId="TextonotaalfinalCar">
    <w:name w:val="Texto nota al final Car"/>
    <w:basedOn w:val="Fuentedeprrafopredeter"/>
    <w:link w:val="Textonotaalfinal"/>
    <w:uiPriority w:val="99"/>
    <w:semiHidden/>
    <w:rsid w:val="00DE40B7"/>
    <w:rPr>
      <w:rFonts w:ascii="Cambria" w:eastAsia="MS Mincho" w:hAnsi="Cambria" w:cs="Cambria"/>
      <w:sz w:val="20"/>
      <w:szCs w:val="20"/>
      <w:lang w:val="en-GB" w:eastAsia="ar-SA"/>
    </w:rPr>
  </w:style>
  <w:style w:type="character" w:styleId="Refdenotaalfinal">
    <w:name w:val="endnote reference"/>
    <w:basedOn w:val="Fuentedeprrafopredeter"/>
    <w:uiPriority w:val="99"/>
    <w:semiHidden/>
    <w:unhideWhenUsed/>
    <w:rsid w:val="00DE4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9184">
      <w:bodyDiv w:val="1"/>
      <w:marLeft w:val="0"/>
      <w:marRight w:val="0"/>
      <w:marTop w:val="0"/>
      <w:marBottom w:val="0"/>
      <w:divBdr>
        <w:top w:val="none" w:sz="0" w:space="0" w:color="auto"/>
        <w:left w:val="none" w:sz="0" w:space="0" w:color="auto"/>
        <w:bottom w:val="none" w:sz="0" w:space="0" w:color="auto"/>
        <w:right w:val="none" w:sz="0" w:space="0" w:color="auto"/>
      </w:divBdr>
    </w:div>
    <w:div w:id="431826856">
      <w:bodyDiv w:val="1"/>
      <w:marLeft w:val="0"/>
      <w:marRight w:val="0"/>
      <w:marTop w:val="0"/>
      <w:marBottom w:val="0"/>
      <w:divBdr>
        <w:top w:val="none" w:sz="0" w:space="0" w:color="auto"/>
        <w:left w:val="none" w:sz="0" w:space="0" w:color="auto"/>
        <w:bottom w:val="none" w:sz="0" w:space="0" w:color="auto"/>
        <w:right w:val="none" w:sz="0" w:space="0" w:color="auto"/>
      </w:divBdr>
      <w:divsChild>
        <w:div w:id="1457531194">
          <w:marLeft w:val="0"/>
          <w:marRight w:val="0"/>
          <w:marTop w:val="0"/>
          <w:marBottom w:val="0"/>
          <w:divBdr>
            <w:top w:val="none" w:sz="0" w:space="0" w:color="auto"/>
            <w:left w:val="none" w:sz="0" w:space="0" w:color="auto"/>
            <w:bottom w:val="none" w:sz="0" w:space="0" w:color="auto"/>
            <w:right w:val="none" w:sz="0" w:space="0" w:color="auto"/>
          </w:divBdr>
          <w:divsChild>
            <w:div w:id="737480580">
              <w:marLeft w:val="0"/>
              <w:marRight w:val="0"/>
              <w:marTop w:val="0"/>
              <w:marBottom w:val="0"/>
              <w:divBdr>
                <w:top w:val="none" w:sz="0" w:space="0" w:color="auto"/>
                <w:left w:val="none" w:sz="0" w:space="0" w:color="auto"/>
                <w:bottom w:val="none" w:sz="0" w:space="0" w:color="auto"/>
                <w:right w:val="none" w:sz="0" w:space="0" w:color="auto"/>
              </w:divBdr>
              <w:divsChild>
                <w:div w:id="1655986917">
                  <w:marLeft w:val="0"/>
                  <w:marRight w:val="0"/>
                  <w:marTop w:val="0"/>
                  <w:marBottom w:val="0"/>
                  <w:divBdr>
                    <w:top w:val="none" w:sz="0" w:space="0" w:color="auto"/>
                    <w:left w:val="none" w:sz="0" w:space="0" w:color="auto"/>
                    <w:bottom w:val="none" w:sz="0" w:space="0" w:color="auto"/>
                    <w:right w:val="none" w:sz="0" w:space="0" w:color="auto"/>
                  </w:divBdr>
                  <w:divsChild>
                    <w:div w:id="1912228465">
                      <w:marLeft w:val="0"/>
                      <w:marRight w:val="0"/>
                      <w:marTop w:val="0"/>
                      <w:marBottom w:val="0"/>
                      <w:divBdr>
                        <w:top w:val="none" w:sz="0" w:space="0" w:color="auto"/>
                        <w:left w:val="none" w:sz="0" w:space="0" w:color="auto"/>
                        <w:bottom w:val="none" w:sz="0" w:space="0" w:color="auto"/>
                        <w:right w:val="none" w:sz="0" w:space="0" w:color="auto"/>
                      </w:divBdr>
                      <w:divsChild>
                        <w:div w:id="1902204824">
                          <w:marLeft w:val="-2595"/>
                          <w:marRight w:val="0"/>
                          <w:marTop w:val="0"/>
                          <w:marBottom w:val="0"/>
                          <w:divBdr>
                            <w:top w:val="none" w:sz="0" w:space="0" w:color="auto"/>
                            <w:left w:val="none" w:sz="0" w:space="0" w:color="auto"/>
                            <w:bottom w:val="none" w:sz="0" w:space="0" w:color="auto"/>
                            <w:right w:val="none" w:sz="0" w:space="0" w:color="auto"/>
                          </w:divBdr>
                          <w:divsChild>
                            <w:div w:id="252595919">
                              <w:marLeft w:val="0"/>
                              <w:marRight w:val="0"/>
                              <w:marTop w:val="0"/>
                              <w:marBottom w:val="0"/>
                              <w:divBdr>
                                <w:top w:val="none" w:sz="0" w:space="0" w:color="auto"/>
                                <w:left w:val="none" w:sz="0" w:space="0" w:color="auto"/>
                                <w:bottom w:val="none" w:sz="0" w:space="0" w:color="auto"/>
                                <w:right w:val="none" w:sz="0" w:space="0" w:color="auto"/>
                              </w:divBdr>
                              <w:divsChild>
                                <w:div w:id="1067192001">
                                  <w:marLeft w:val="0"/>
                                  <w:marRight w:val="0"/>
                                  <w:marTop w:val="0"/>
                                  <w:marBottom w:val="0"/>
                                  <w:divBdr>
                                    <w:top w:val="none" w:sz="0" w:space="0" w:color="auto"/>
                                    <w:left w:val="none" w:sz="0" w:space="0" w:color="auto"/>
                                    <w:bottom w:val="none" w:sz="0" w:space="0" w:color="auto"/>
                                    <w:right w:val="none" w:sz="0" w:space="0" w:color="auto"/>
                                  </w:divBdr>
                                  <w:divsChild>
                                    <w:div w:id="1085229566">
                                      <w:marLeft w:val="0"/>
                                      <w:marRight w:val="0"/>
                                      <w:marTop w:val="0"/>
                                      <w:marBottom w:val="0"/>
                                      <w:divBdr>
                                        <w:top w:val="none" w:sz="0" w:space="0" w:color="auto"/>
                                        <w:left w:val="none" w:sz="0" w:space="0" w:color="auto"/>
                                        <w:bottom w:val="none" w:sz="0" w:space="0" w:color="auto"/>
                                        <w:right w:val="none" w:sz="0" w:space="0" w:color="auto"/>
                                      </w:divBdr>
                                      <w:divsChild>
                                        <w:div w:id="197023598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097">
      <w:bodyDiv w:val="1"/>
      <w:marLeft w:val="0"/>
      <w:marRight w:val="0"/>
      <w:marTop w:val="0"/>
      <w:marBottom w:val="0"/>
      <w:divBdr>
        <w:top w:val="none" w:sz="0" w:space="0" w:color="auto"/>
        <w:left w:val="none" w:sz="0" w:space="0" w:color="auto"/>
        <w:bottom w:val="none" w:sz="0" w:space="0" w:color="auto"/>
        <w:right w:val="none" w:sz="0" w:space="0" w:color="auto"/>
      </w:divBdr>
    </w:div>
    <w:div w:id="633948771">
      <w:bodyDiv w:val="1"/>
      <w:marLeft w:val="0"/>
      <w:marRight w:val="0"/>
      <w:marTop w:val="0"/>
      <w:marBottom w:val="0"/>
      <w:divBdr>
        <w:top w:val="none" w:sz="0" w:space="0" w:color="auto"/>
        <w:left w:val="none" w:sz="0" w:space="0" w:color="auto"/>
        <w:bottom w:val="none" w:sz="0" w:space="0" w:color="auto"/>
        <w:right w:val="none" w:sz="0" w:space="0" w:color="auto"/>
      </w:divBdr>
    </w:div>
    <w:div w:id="659816750">
      <w:bodyDiv w:val="1"/>
      <w:marLeft w:val="0"/>
      <w:marRight w:val="0"/>
      <w:marTop w:val="0"/>
      <w:marBottom w:val="0"/>
      <w:divBdr>
        <w:top w:val="none" w:sz="0" w:space="0" w:color="auto"/>
        <w:left w:val="none" w:sz="0" w:space="0" w:color="auto"/>
        <w:bottom w:val="none" w:sz="0" w:space="0" w:color="auto"/>
        <w:right w:val="none" w:sz="0" w:space="0" w:color="auto"/>
      </w:divBdr>
      <w:divsChild>
        <w:div w:id="597911660">
          <w:marLeft w:val="0"/>
          <w:marRight w:val="0"/>
          <w:marTop w:val="0"/>
          <w:marBottom w:val="0"/>
          <w:divBdr>
            <w:top w:val="none" w:sz="0" w:space="0" w:color="auto"/>
            <w:left w:val="none" w:sz="0" w:space="0" w:color="auto"/>
            <w:bottom w:val="none" w:sz="0" w:space="0" w:color="auto"/>
            <w:right w:val="none" w:sz="0" w:space="0" w:color="auto"/>
          </w:divBdr>
          <w:divsChild>
            <w:div w:id="1242518952">
              <w:marLeft w:val="0"/>
              <w:marRight w:val="0"/>
              <w:marTop w:val="0"/>
              <w:marBottom w:val="0"/>
              <w:divBdr>
                <w:top w:val="none" w:sz="0" w:space="0" w:color="auto"/>
                <w:left w:val="none" w:sz="0" w:space="0" w:color="auto"/>
                <w:bottom w:val="none" w:sz="0" w:space="0" w:color="auto"/>
                <w:right w:val="none" w:sz="0" w:space="0" w:color="auto"/>
              </w:divBdr>
              <w:divsChild>
                <w:div w:id="123935838">
                  <w:marLeft w:val="0"/>
                  <w:marRight w:val="0"/>
                  <w:marTop w:val="0"/>
                  <w:marBottom w:val="0"/>
                  <w:divBdr>
                    <w:top w:val="none" w:sz="0" w:space="0" w:color="auto"/>
                    <w:left w:val="none" w:sz="0" w:space="0" w:color="auto"/>
                    <w:bottom w:val="none" w:sz="0" w:space="0" w:color="auto"/>
                    <w:right w:val="none" w:sz="0" w:space="0" w:color="auto"/>
                  </w:divBdr>
                  <w:divsChild>
                    <w:div w:id="1634408546">
                      <w:marLeft w:val="0"/>
                      <w:marRight w:val="0"/>
                      <w:marTop w:val="0"/>
                      <w:marBottom w:val="0"/>
                      <w:divBdr>
                        <w:top w:val="none" w:sz="0" w:space="0" w:color="auto"/>
                        <w:left w:val="none" w:sz="0" w:space="0" w:color="auto"/>
                        <w:bottom w:val="none" w:sz="0" w:space="0" w:color="auto"/>
                        <w:right w:val="none" w:sz="0" w:space="0" w:color="auto"/>
                      </w:divBdr>
                      <w:divsChild>
                        <w:div w:id="1511795851">
                          <w:marLeft w:val="-2595"/>
                          <w:marRight w:val="0"/>
                          <w:marTop w:val="0"/>
                          <w:marBottom w:val="0"/>
                          <w:divBdr>
                            <w:top w:val="none" w:sz="0" w:space="0" w:color="auto"/>
                            <w:left w:val="none" w:sz="0" w:space="0" w:color="auto"/>
                            <w:bottom w:val="none" w:sz="0" w:space="0" w:color="auto"/>
                            <w:right w:val="none" w:sz="0" w:space="0" w:color="auto"/>
                          </w:divBdr>
                          <w:divsChild>
                            <w:div w:id="639845306">
                              <w:marLeft w:val="0"/>
                              <w:marRight w:val="0"/>
                              <w:marTop w:val="0"/>
                              <w:marBottom w:val="0"/>
                              <w:divBdr>
                                <w:top w:val="none" w:sz="0" w:space="0" w:color="auto"/>
                                <w:left w:val="none" w:sz="0" w:space="0" w:color="auto"/>
                                <w:bottom w:val="none" w:sz="0" w:space="0" w:color="auto"/>
                                <w:right w:val="none" w:sz="0" w:space="0" w:color="auto"/>
                              </w:divBdr>
                              <w:divsChild>
                                <w:div w:id="162742194">
                                  <w:marLeft w:val="0"/>
                                  <w:marRight w:val="0"/>
                                  <w:marTop w:val="0"/>
                                  <w:marBottom w:val="0"/>
                                  <w:divBdr>
                                    <w:top w:val="none" w:sz="0" w:space="0" w:color="auto"/>
                                    <w:left w:val="none" w:sz="0" w:space="0" w:color="auto"/>
                                    <w:bottom w:val="none" w:sz="0" w:space="0" w:color="auto"/>
                                    <w:right w:val="none" w:sz="0" w:space="0" w:color="auto"/>
                                  </w:divBdr>
                                  <w:divsChild>
                                    <w:div w:id="420030400">
                                      <w:marLeft w:val="0"/>
                                      <w:marRight w:val="0"/>
                                      <w:marTop w:val="0"/>
                                      <w:marBottom w:val="0"/>
                                      <w:divBdr>
                                        <w:top w:val="none" w:sz="0" w:space="0" w:color="auto"/>
                                        <w:left w:val="none" w:sz="0" w:space="0" w:color="auto"/>
                                        <w:bottom w:val="none" w:sz="0" w:space="0" w:color="auto"/>
                                        <w:right w:val="none" w:sz="0" w:space="0" w:color="auto"/>
                                      </w:divBdr>
                                      <w:divsChild>
                                        <w:div w:id="6194584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873197">
      <w:bodyDiv w:val="1"/>
      <w:marLeft w:val="0"/>
      <w:marRight w:val="0"/>
      <w:marTop w:val="0"/>
      <w:marBottom w:val="0"/>
      <w:divBdr>
        <w:top w:val="none" w:sz="0" w:space="0" w:color="auto"/>
        <w:left w:val="none" w:sz="0" w:space="0" w:color="auto"/>
        <w:bottom w:val="none" w:sz="0" w:space="0" w:color="auto"/>
        <w:right w:val="none" w:sz="0" w:space="0" w:color="auto"/>
      </w:divBdr>
      <w:divsChild>
        <w:div w:id="604313586">
          <w:marLeft w:val="0"/>
          <w:marRight w:val="0"/>
          <w:marTop w:val="0"/>
          <w:marBottom w:val="0"/>
          <w:divBdr>
            <w:top w:val="none" w:sz="0" w:space="0" w:color="auto"/>
            <w:left w:val="none" w:sz="0" w:space="0" w:color="auto"/>
            <w:bottom w:val="none" w:sz="0" w:space="0" w:color="auto"/>
            <w:right w:val="none" w:sz="0" w:space="0" w:color="auto"/>
          </w:divBdr>
          <w:divsChild>
            <w:div w:id="133838349">
              <w:marLeft w:val="0"/>
              <w:marRight w:val="0"/>
              <w:marTop w:val="0"/>
              <w:marBottom w:val="0"/>
              <w:divBdr>
                <w:top w:val="none" w:sz="0" w:space="0" w:color="auto"/>
                <w:left w:val="none" w:sz="0" w:space="0" w:color="auto"/>
                <w:bottom w:val="none" w:sz="0" w:space="0" w:color="auto"/>
                <w:right w:val="none" w:sz="0" w:space="0" w:color="auto"/>
              </w:divBdr>
              <w:divsChild>
                <w:div w:id="1398164502">
                  <w:marLeft w:val="0"/>
                  <w:marRight w:val="0"/>
                  <w:marTop w:val="0"/>
                  <w:marBottom w:val="0"/>
                  <w:divBdr>
                    <w:top w:val="none" w:sz="0" w:space="0" w:color="auto"/>
                    <w:left w:val="none" w:sz="0" w:space="0" w:color="auto"/>
                    <w:bottom w:val="none" w:sz="0" w:space="0" w:color="auto"/>
                    <w:right w:val="none" w:sz="0" w:space="0" w:color="auto"/>
                  </w:divBdr>
                  <w:divsChild>
                    <w:div w:id="1770849492">
                      <w:marLeft w:val="0"/>
                      <w:marRight w:val="0"/>
                      <w:marTop w:val="0"/>
                      <w:marBottom w:val="0"/>
                      <w:divBdr>
                        <w:top w:val="none" w:sz="0" w:space="0" w:color="auto"/>
                        <w:left w:val="none" w:sz="0" w:space="0" w:color="auto"/>
                        <w:bottom w:val="none" w:sz="0" w:space="0" w:color="auto"/>
                        <w:right w:val="none" w:sz="0" w:space="0" w:color="auto"/>
                      </w:divBdr>
                      <w:divsChild>
                        <w:div w:id="676227239">
                          <w:marLeft w:val="-2595"/>
                          <w:marRight w:val="0"/>
                          <w:marTop w:val="0"/>
                          <w:marBottom w:val="0"/>
                          <w:divBdr>
                            <w:top w:val="none" w:sz="0" w:space="0" w:color="auto"/>
                            <w:left w:val="none" w:sz="0" w:space="0" w:color="auto"/>
                            <w:bottom w:val="none" w:sz="0" w:space="0" w:color="auto"/>
                            <w:right w:val="none" w:sz="0" w:space="0" w:color="auto"/>
                          </w:divBdr>
                          <w:divsChild>
                            <w:div w:id="573708064">
                              <w:marLeft w:val="0"/>
                              <w:marRight w:val="0"/>
                              <w:marTop w:val="0"/>
                              <w:marBottom w:val="0"/>
                              <w:divBdr>
                                <w:top w:val="none" w:sz="0" w:space="0" w:color="auto"/>
                                <w:left w:val="none" w:sz="0" w:space="0" w:color="auto"/>
                                <w:bottom w:val="none" w:sz="0" w:space="0" w:color="auto"/>
                                <w:right w:val="none" w:sz="0" w:space="0" w:color="auto"/>
                              </w:divBdr>
                              <w:divsChild>
                                <w:div w:id="2076468559">
                                  <w:marLeft w:val="0"/>
                                  <w:marRight w:val="0"/>
                                  <w:marTop w:val="0"/>
                                  <w:marBottom w:val="0"/>
                                  <w:divBdr>
                                    <w:top w:val="none" w:sz="0" w:space="0" w:color="auto"/>
                                    <w:left w:val="none" w:sz="0" w:space="0" w:color="auto"/>
                                    <w:bottom w:val="none" w:sz="0" w:space="0" w:color="auto"/>
                                    <w:right w:val="none" w:sz="0" w:space="0" w:color="auto"/>
                                  </w:divBdr>
                                  <w:divsChild>
                                    <w:div w:id="429860653">
                                      <w:marLeft w:val="0"/>
                                      <w:marRight w:val="0"/>
                                      <w:marTop w:val="0"/>
                                      <w:marBottom w:val="0"/>
                                      <w:divBdr>
                                        <w:top w:val="none" w:sz="0" w:space="0" w:color="auto"/>
                                        <w:left w:val="none" w:sz="0" w:space="0" w:color="auto"/>
                                        <w:bottom w:val="none" w:sz="0" w:space="0" w:color="auto"/>
                                        <w:right w:val="none" w:sz="0" w:space="0" w:color="auto"/>
                                      </w:divBdr>
                                      <w:divsChild>
                                        <w:div w:id="5356989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526140">
      <w:bodyDiv w:val="1"/>
      <w:marLeft w:val="0"/>
      <w:marRight w:val="0"/>
      <w:marTop w:val="0"/>
      <w:marBottom w:val="0"/>
      <w:divBdr>
        <w:top w:val="none" w:sz="0" w:space="0" w:color="auto"/>
        <w:left w:val="none" w:sz="0" w:space="0" w:color="auto"/>
        <w:bottom w:val="none" w:sz="0" w:space="0" w:color="auto"/>
        <w:right w:val="none" w:sz="0" w:space="0" w:color="auto"/>
      </w:divBdr>
    </w:div>
    <w:div w:id="1001471271">
      <w:bodyDiv w:val="1"/>
      <w:marLeft w:val="0"/>
      <w:marRight w:val="0"/>
      <w:marTop w:val="0"/>
      <w:marBottom w:val="0"/>
      <w:divBdr>
        <w:top w:val="none" w:sz="0" w:space="0" w:color="auto"/>
        <w:left w:val="none" w:sz="0" w:space="0" w:color="auto"/>
        <w:bottom w:val="none" w:sz="0" w:space="0" w:color="auto"/>
        <w:right w:val="none" w:sz="0" w:space="0" w:color="auto"/>
      </w:divBdr>
    </w:div>
    <w:div w:id="1333292006">
      <w:marLeft w:val="0"/>
      <w:marRight w:val="0"/>
      <w:marTop w:val="0"/>
      <w:marBottom w:val="0"/>
      <w:divBdr>
        <w:top w:val="none" w:sz="0" w:space="0" w:color="auto"/>
        <w:left w:val="none" w:sz="0" w:space="0" w:color="auto"/>
        <w:bottom w:val="none" w:sz="0" w:space="0" w:color="auto"/>
        <w:right w:val="none" w:sz="0" w:space="0" w:color="auto"/>
      </w:divBdr>
    </w:div>
    <w:div w:id="1333292008">
      <w:marLeft w:val="0"/>
      <w:marRight w:val="0"/>
      <w:marTop w:val="0"/>
      <w:marBottom w:val="0"/>
      <w:divBdr>
        <w:top w:val="none" w:sz="0" w:space="0" w:color="auto"/>
        <w:left w:val="none" w:sz="0" w:space="0" w:color="auto"/>
        <w:bottom w:val="none" w:sz="0" w:space="0" w:color="auto"/>
        <w:right w:val="none" w:sz="0" w:space="0" w:color="auto"/>
      </w:divBdr>
    </w:div>
    <w:div w:id="1333292010">
      <w:marLeft w:val="0"/>
      <w:marRight w:val="0"/>
      <w:marTop w:val="0"/>
      <w:marBottom w:val="0"/>
      <w:divBdr>
        <w:top w:val="none" w:sz="0" w:space="0" w:color="auto"/>
        <w:left w:val="none" w:sz="0" w:space="0" w:color="auto"/>
        <w:bottom w:val="none" w:sz="0" w:space="0" w:color="auto"/>
        <w:right w:val="none" w:sz="0" w:space="0" w:color="auto"/>
      </w:divBdr>
    </w:div>
    <w:div w:id="1333292011">
      <w:marLeft w:val="0"/>
      <w:marRight w:val="0"/>
      <w:marTop w:val="0"/>
      <w:marBottom w:val="0"/>
      <w:divBdr>
        <w:top w:val="none" w:sz="0" w:space="0" w:color="auto"/>
        <w:left w:val="none" w:sz="0" w:space="0" w:color="auto"/>
        <w:bottom w:val="none" w:sz="0" w:space="0" w:color="auto"/>
        <w:right w:val="none" w:sz="0" w:space="0" w:color="auto"/>
      </w:divBdr>
    </w:div>
    <w:div w:id="1333292012">
      <w:marLeft w:val="0"/>
      <w:marRight w:val="0"/>
      <w:marTop w:val="0"/>
      <w:marBottom w:val="0"/>
      <w:divBdr>
        <w:top w:val="none" w:sz="0" w:space="0" w:color="auto"/>
        <w:left w:val="none" w:sz="0" w:space="0" w:color="auto"/>
        <w:bottom w:val="none" w:sz="0" w:space="0" w:color="auto"/>
        <w:right w:val="none" w:sz="0" w:space="0" w:color="auto"/>
      </w:divBdr>
      <w:divsChild>
        <w:div w:id="1333292009">
          <w:marLeft w:val="706"/>
          <w:marRight w:val="0"/>
          <w:marTop w:val="0"/>
          <w:marBottom w:val="220"/>
          <w:divBdr>
            <w:top w:val="none" w:sz="0" w:space="0" w:color="auto"/>
            <w:left w:val="none" w:sz="0" w:space="0" w:color="auto"/>
            <w:bottom w:val="none" w:sz="0" w:space="0" w:color="auto"/>
            <w:right w:val="none" w:sz="0" w:space="0" w:color="auto"/>
          </w:divBdr>
        </w:div>
        <w:div w:id="1333292013">
          <w:marLeft w:val="706"/>
          <w:marRight w:val="0"/>
          <w:marTop w:val="0"/>
          <w:marBottom w:val="220"/>
          <w:divBdr>
            <w:top w:val="none" w:sz="0" w:space="0" w:color="auto"/>
            <w:left w:val="none" w:sz="0" w:space="0" w:color="auto"/>
            <w:bottom w:val="none" w:sz="0" w:space="0" w:color="auto"/>
            <w:right w:val="none" w:sz="0" w:space="0" w:color="auto"/>
          </w:divBdr>
        </w:div>
      </w:divsChild>
    </w:div>
    <w:div w:id="1333292014">
      <w:marLeft w:val="0"/>
      <w:marRight w:val="0"/>
      <w:marTop w:val="0"/>
      <w:marBottom w:val="0"/>
      <w:divBdr>
        <w:top w:val="none" w:sz="0" w:space="0" w:color="auto"/>
        <w:left w:val="none" w:sz="0" w:space="0" w:color="auto"/>
        <w:bottom w:val="none" w:sz="0" w:space="0" w:color="auto"/>
        <w:right w:val="none" w:sz="0" w:space="0" w:color="auto"/>
      </w:divBdr>
      <w:divsChild>
        <w:div w:id="1333292005">
          <w:marLeft w:val="374"/>
          <w:marRight w:val="0"/>
          <w:marTop w:val="0"/>
          <w:marBottom w:val="220"/>
          <w:divBdr>
            <w:top w:val="none" w:sz="0" w:space="0" w:color="auto"/>
            <w:left w:val="none" w:sz="0" w:space="0" w:color="auto"/>
            <w:bottom w:val="none" w:sz="0" w:space="0" w:color="auto"/>
            <w:right w:val="none" w:sz="0" w:space="0" w:color="auto"/>
          </w:divBdr>
        </w:div>
      </w:divsChild>
    </w:div>
    <w:div w:id="1333292015">
      <w:marLeft w:val="0"/>
      <w:marRight w:val="0"/>
      <w:marTop w:val="0"/>
      <w:marBottom w:val="0"/>
      <w:divBdr>
        <w:top w:val="none" w:sz="0" w:space="0" w:color="auto"/>
        <w:left w:val="none" w:sz="0" w:space="0" w:color="auto"/>
        <w:bottom w:val="none" w:sz="0" w:space="0" w:color="auto"/>
        <w:right w:val="none" w:sz="0" w:space="0" w:color="auto"/>
      </w:divBdr>
      <w:divsChild>
        <w:div w:id="1333292007">
          <w:marLeft w:val="374"/>
          <w:marRight w:val="0"/>
          <w:marTop w:val="0"/>
          <w:marBottom w:val="220"/>
          <w:divBdr>
            <w:top w:val="none" w:sz="0" w:space="0" w:color="auto"/>
            <w:left w:val="none" w:sz="0" w:space="0" w:color="auto"/>
            <w:bottom w:val="none" w:sz="0" w:space="0" w:color="auto"/>
            <w:right w:val="none" w:sz="0" w:space="0" w:color="auto"/>
          </w:divBdr>
        </w:div>
      </w:divsChild>
    </w:div>
    <w:div w:id="1333292016">
      <w:marLeft w:val="0"/>
      <w:marRight w:val="0"/>
      <w:marTop w:val="0"/>
      <w:marBottom w:val="0"/>
      <w:divBdr>
        <w:top w:val="none" w:sz="0" w:space="0" w:color="auto"/>
        <w:left w:val="none" w:sz="0" w:space="0" w:color="auto"/>
        <w:bottom w:val="none" w:sz="0" w:space="0" w:color="auto"/>
        <w:right w:val="none" w:sz="0" w:space="0" w:color="auto"/>
      </w:divBdr>
    </w:div>
    <w:div w:id="1333292017">
      <w:marLeft w:val="0"/>
      <w:marRight w:val="0"/>
      <w:marTop w:val="0"/>
      <w:marBottom w:val="0"/>
      <w:divBdr>
        <w:top w:val="none" w:sz="0" w:space="0" w:color="auto"/>
        <w:left w:val="none" w:sz="0" w:space="0" w:color="auto"/>
        <w:bottom w:val="none" w:sz="0" w:space="0" w:color="auto"/>
        <w:right w:val="none" w:sz="0" w:space="0" w:color="auto"/>
      </w:divBdr>
    </w:div>
    <w:div w:id="1333292018">
      <w:marLeft w:val="0"/>
      <w:marRight w:val="0"/>
      <w:marTop w:val="0"/>
      <w:marBottom w:val="0"/>
      <w:divBdr>
        <w:top w:val="none" w:sz="0" w:space="0" w:color="auto"/>
        <w:left w:val="none" w:sz="0" w:space="0" w:color="auto"/>
        <w:bottom w:val="none" w:sz="0" w:space="0" w:color="auto"/>
        <w:right w:val="none" w:sz="0" w:space="0" w:color="auto"/>
      </w:divBdr>
    </w:div>
    <w:div w:id="1333292019">
      <w:marLeft w:val="0"/>
      <w:marRight w:val="0"/>
      <w:marTop w:val="0"/>
      <w:marBottom w:val="0"/>
      <w:divBdr>
        <w:top w:val="none" w:sz="0" w:space="0" w:color="auto"/>
        <w:left w:val="none" w:sz="0" w:space="0" w:color="auto"/>
        <w:bottom w:val="none" w:sz="0" w:space="0" w:color="auto"/>
        <w:right w:val="none" w:sz="0" w:space="0" w:color="auto"/>
      </w:divBdr>
    </w:div>
    <w:div w:id="1333292020">
      <w:marLeft w:val="0"/>
      <w:marRight w:val="0"/>
      <w:marTop w:val="0"/>
      <w:marBottom w:val="0"/>
      <w:divBdr>
        <w:top w:val="none" w:sz="0" w:space="0" w:color="auto"/>
        <w:left w:val="none" w:sz="0" w:space="0" w:color="auto"/>
        <w:bottom w:val="none" w:sz="0" w:space="0" w:color="auto"/>
        <w:right w:val="none" w:sz="0" w:space="0" w:color="auto"/>
      </w:divBdr>
      <w:divsChild>
        <w:div w:id="1333292004">
          <w:marLeft w:val="374"/>
          <w:marRight w:val="0"/>
          <w:marTop w:val="0"/>
          <w:marBottom w:val="2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f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83FA416-6254-4069-A69E-8B63CA7A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845</Words>
  <Characters>4507</Characters>
  <Application>Microsoft Office Word</Application>
  <DocSecurity>0</DocSecurity>
  <Lines>37</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Paris, 21 janvier 2013</vt:lpstr>
      <vt:lpstr>Paris, 21 janvier 2013</vt:lpstr>
      <vt:lpstr>Paris, 21 janvier 2013</vt:lpstr>
    </vt:vector>
  </TitlesOfParts>
  <Company>COFACE</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maria_krellenstein</dc:creator>
  <cp:lastModifiedBy>BRIGHENTI Clara</cp:lastModifiedBy>
  <cp:revision>4</cp:revision>
  <cp:lastPrinted>2017-03-29T14:52:00Z</cp:lastPrinted>
  <dcterms:created xsi:type="dcterms:W3CDTF">2017-05-18T18:02:00Z</dcterms:created>
  <dcterms:modified xsi:type="dcterms:W3CDTF">2017-05-18T18:15:00Z</dcterms:modified>
</cp:coreProperties>
</file>